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61" w:rsidRDefault="00324ED1" w:rsidP="00AF7556">
      <w:pPr>
        <w:spacing w:line="480" w:lineRule="auto"/>
        <w:jc w:val="center"/>
        <w:rPr>
          <w:i/>
        </w:rPr>
      </w:pPr>
      <w:r>
        <w:t>C</w:t>
      </w:r>
      <w:r w:rsidR="004C5017">
        <w:t xml:space="preserve">omments on </w:t>
      </w:r>
      <w:proofErr w:type="spellStart"/>
      <w:r w:rsidR="004C5017">
        <w:t>Stichter’s</w:t>
      </w:r>
      <w:proofErr w:type="spellEnd"/>
      <w:r w:rsidR="004C5017">
        <w:t xml:space="preserve"> </w:t>
      </w:r>
      <w:r w:rsidR="004C5017">
        <w:rPr>
          <w:i/>
        </w:rPr>
        <w:t>The Skillfulness of Virtue</w:t>
      </w:r>
    </w:p>
    <w:p w:rsidR="00324ED1" w:rsidRDefault="00324ED1" w:rsidP="00AF7556">
      <w:pPr>
        <w:spacing w:line="480" w:lineRule="auto"/>
        <w:jc w:val="center"/>
      </w:pPr>
    </w:p>
    <w:p w:rsidR="000B7FD8" w:rsidRDefault="000B7FD8" w:rsidP="00AF7556">
      <w:pPr>
        <w:spacing w:line="480" w:lineRule="auto"/>
      </w:pPr>
    </w:p>
    <w:p w:rsidR="00110832" w:rsidRDefault="003B5B67" w:rsidP="00AF7556">
      <w:pPr>
        <w:spacing w:line="480" w:lineRule="auto"/>
      </w:pPr>
      <w:r>
        <w:t xml:space="preserve">Matthew </w:t>
      </w:r>
      <w:proofErr w:type="spellStart"/>
      <w:r>
        <w:t>Stichter’s</w:t>
      </w:r>
      <w:proofErr w:type="spellEnd"/>
      <w:r>
        <w:t xml:space="preserve"> </w:t>
      </w:r>
      <w:proofErr w:type="spellStart"/>
      <w:r>
        <w:rPr>
          <w:i/>
        </w:rPr>
        <w:t>Skillfullness</w:t>
      </w:r>
      <w:proofErr w:type="spellEnd"/>
      <w:r>
        <w:rPr>
          <w:i/>
        </w:rPr>
        <w:t xml:space="preserve"> of Virtue</w:t>
      </w:r>
      <w:r w:rsidR="004C5017">
        <w:t xml:space="preserve"> </w:t>
      </w:r>
      <w:r w:rsidR="003A245A">
        <w:t xml:space="preserve">(2018) </w:t>
      </w:r>
      <w:r w:rsidR="004C5017">
        <w:t>is a</w:t>
      </w:r>
      <w:r>
        <w:t xml:space="preserve"> significant</w:t>
      </w:r>
      <w:r w:rsidR="004C5017">
        <w:t xml:space="preserve"> achievement. </w:t>
      </w:r>
      <w:r>
        <w:t xml:space="preserve">Over the past </w:t>
      </w:r>
      <w:r w:rsidR="002E519F">
        <w:t>couple</w:t>
      </w:r>
      <w:r w:rsidR="009746CF">
        <w:t xml:space="preserve"> of</w:t>
      </w:r>
      <w:r w:rsidR="002E519F">
        <w:t xml:space="preserve"> decades, m</w:t>
      </w:r>
      <w:r>
        <w:t>any philosophers</w:t>
      </w:r>
      <w:r w:rsidR="004C5017">
        <w:t xml:space="preserve"> have claimed to give empirically-informed accounts of virtue</w:t>
      </w:r>
      <w:r w:rsidR="003D7CB8">
        <w:t xml:space="preserve"> (</w:t>
      </w:r>
      <w:r w:rsidR="007D249D">
        <w:t>or</w:t>
      </w:r>
      <w:r w:rsidR="003D7CB8">
        <w:t xml:space="preserve"> its lack)</w:t>
      </w:r>
      <w:r w:rsidR="002E519F">
        <w:t>.</w:t>
      </w:r>
      <w:r w:rsidR="002E519F">
        <w:rPr>
          <w:rStyle w:val="FootnoteReference"/>
        </w:rPr>
        <w:footnoteReference w:id="1"/>
      </w:r>
      <w:r w:rsidR="002E519F">
        <w:t xml:space="preserve"> However,</w:t>
      </w:r>
      <w:r w:rsidR="004C5017">
        <w:t xml:space="preserve"> few have done so responsibly. </w:t>
      </w:r>
      <w:proofErr w:type="spellStart"/>
      <w:r w:rsidR="008059A2">
        <w:t>Stichter</w:t>
      </w:r>
      <w:proofErr w:type="spellEnd"/>
      <w:r w:rsidR="004C5017">
        <w:t xml:space="preserve"> doesn’t just cherry-pick a few studies that seem to be consistent with what he wants to argue. He is, to </w:t>
      </w:r>
      <w:r w:rsidR="004E3043">
        <w:t>an appropriate</w:t>
      </w:r>
      <w:r w:rsidR="004C5017">
        <w:t xml:space="preserve"> extent, guided by the evidence. But he’s also aware that there are flaws and gaps in the empirical literature, so he doesn’t follow it slavishly and he frequently remarks </w:t>
      </w:r>
      <w:r w:rsidR="00A64C4C">
        <w:t>on</w:t>
      </w:r>
      <w:r w:rsidR="004C5017">
        <w:t xml:space="preserve"> cases in which further research is required. This enables him to engage in responsible speculation, by which I mean</w:t>
      </w:r>
      <w:r w:rsidR="008059A2">
        <w:t>:</w:t>
      </w:r>
      <w:r w:rsidR="004C5017">
        <w:t xml:space="preserve"> marking plausible but fallibl</w:t>
      </w:r>
      <w:r w:rsidR="009746CF">
        <w:t>e</w:t>
      </w:r>
      <w:r w:rsidR="004C5017">
        <w:t xml:space="preserve"> arguments about what we might expect to find if we engage in various inquiries. The value of such responsible speculation is hard to overstate, as it provides hypotheses that can then be tested. One of the many causes of the ongoing replication crisis</w:t>
      </w:r>
      <w:r w:rsidR="004E3043">
        <w:t xml:space="preserve"> in psychology</w:t>
      </w:r>
      <w:r w:rsidR="004C5017">
        <w:t xml:space="preserve"> is </w:t>
      </w:r>
      <w:proofErr w:type="spellStart"/>
      <w:r w:rsidR="004C5017">
        <w:t>HARKing</w:t>
      </w:r>
      <w:proofErr w:type="spellEnd"/>
      <w:r w:rsidR="004C5017">
        <w:t xml:space="preserve"> (coming up with a </w:t>
      </w:r>
      <w:r w:rsidR="008059A2">
        <w:t>H</w:t>
      </w:r>
      <w:r w:rsidR="004C5017">
        <w:t xml:space="preserve">ypothesis only </w:t>
      </w:r>
      <w:r w:rsidR="008059A2">
        <w:t>A</w:t>
      </w:r>
      <w:r w:rsidR="004C5017">
        <w:t xml:space="preserve">fter the </w:t>
      </w:r>
      <w:r w:rsidR="008059A2">
        <w:t>R</w:t>
      </w:r>
      <w:r w:rsidR="004C5017">
        <w:t xml:space="preserve">esults of a study are </w:t>
      </w:r>
      <w:r w:rsidR="008059A2">
        <w:t>K</w:t>
      </w:r>
      <w:r w:rsidR="004C5017">
        <w:t>nown</w:t>
      </w:r>
      <w:r w:rsidR="008059A2">
        <w:t xml:space="preserve"> — see </w:t>
      </w:r>
      <w:r w:rsidR="00110832" w:rsidRPr="00110832">
        <w:t>Kerr</w:t>
      </w:r>
      <w:r w:rsidR="00110832">
        <w:t xml:space="preserve"> 1998</w:t>
      </w:r>
      <w:r w:rsidR="004C5017">
        <w:t>)</w:t>
      </w:r>
      <w:r w:rsidR="004E3043">
        <w:t xml:space="preserve">, and </w:t>
      </w:r>
      <w:proofErr w:type="spellStart"/>
      <w:r w:rsidR="004E3043">
        <w:t>HARKing</w:t>
      </w:r>
      <w:proofErr w:type="spellEnd"/>
      <w:r w:rsidR="004E3043">
        <w:t xml:space="preserve"> is impossible when the hypothesis is established in advance</w:t>
      </w:r>
      <w:r w:rsidR="004C5017">
        <w:t xml:space="preserve">. </w:t>
      </w:r>
    </w:p>
    <w:p w:rsidR="004C5017" w:rsidRDefault="002422EB" w:rsidP="00AF7556">
      <w:pPr>
        <w:spacing w:line="480" w:lineRule="auto"/>
        <w:ind w:firstLine="720"/>
      </w:pPr>
      <w:r>
        <w:t xml:space="preserve">Psychologists HARK for lots of reasons, but one of them is that they aren’t always as well-prepared as philosophers are to engage in responsible speculation. It’s often not part of their </w:t>
      </w:r>
      <w:r>
        <w:lastRenderedPageBreak/>
        <w:t>training</w:t>
      </w:r>
      <w:r w:rsidR="00110832">
        <w:t xml:space="preserve"> — a deficit that has led some to posit a conceptualization crisis in psychology (</w:t>
      </w:r>
      <w:r w:rsidR="00881391">
        <w:t>Klein 2014</w:t>
      </w:r>
      <w:r w:rsidR="000A7024">
        <w:t>, Schaller 2016</w:t>
      </w:r>
      <w:r w:rsidR="00110832">
        <w:t>)</w:t>
      </w:r>
      <w:r>
        <w:t>. This means that collaborations between philosophers and psychologists can fruitfully employ a division of cognitive labor that involves the former doing the responsible speculation and the latter testing the hypotheses thus generated</w:t>
      </w:r>
      <w:r w:rsidR="00F20080">
        <w:t xml:space="preserve"> (</w:t>
      </w:r>
      <w:proofErr w:type="spellStart"/>
      <w:r w:rsidR="00F20080">
        <w:t>Morawski</w:t>
      </w:r>
      <w:proofErr w:type="spellEnd"/>
      <w:r w:rsidR="00F20080">
        <w:t xml:space="preserve"> 2019, </w:t>
      </w:r>
      <w:r w:rsidR="00F20080" w:rsidRPr="00F20080">
        <w:t xml:space="preserve">Wiggins &amp; </w:t>
      </w:r>
      <w:proofErr w:type="spellStart"/>
      <w:r w:rsidR="00F20080" w:rsidRPr="00F20080">
        <w:t>Chrisopherson</w:t>
      </w:r>
      <w:proofErr w:type="spellEnd"/>
      <w:r w:rsidR="00F20080">
        <w:t xml:space="preserve"> 2019)</w:t>
      </w:r>
      <w:r>
        <w:t>. Of course, that’s not the only available model of interdisciplinary collaboration, but it</w:t>
      </w:r>
      <w:r w:rsidR="00E92879">
        <w:t xml:space="preserve"> is plausible on its face and enjoys a proven track record</w:t>
      </w:r>
      <w:r w:rsidR="002E4C87">
        <w:t xml:space="preserve">, </w:t>
      </w:r>
      <w:r w:rsidR="00987E81">
        <w:t>including</w:t>
      </w:r>
      <w:r w:rsidR="004E3043">
        <w:t xml:space="preserve"> research</w:t>
      </w:r>
      <w:r w:rsidR="00987E81">
        <w:t xml:space="preserve"> by </w:t>
      </w:r>
      <w:proofErr w:type="spellStart"/>
      <w:r w:rsidR="00987E81">
        <w:t>Stichter</w:t>
      </w:r>
      <w:r w:rsidR="004E3043">
        <w:t>’s</w:t>
      </w:r>
      <w:proofErr w:type="spellEnd"/>
      <w:r w:rsidR="004E3043">
        <w:t xml:space="preserve"> own team</w:t>
      </w:r>
      <w:r w:rsidR="00987E81">
        <w:t xml:space="preserve"> (</w:t>
      </w:r>
      <w:proofErr w:type="spellStart"/>
      <w:r w:rsidR="003A245A">
        <w:t>Vess</w:t>
      </w:r>
      <w:proofErr w:type="spellEnd"/>
      <w:r w:rsidR="003A245A">
        <w:t xml:space="preserve"> et al. 2019</w:t>
      </w:r>
      <w:r w:rsidR="00987E81">
        <w:t>)</w:t>
      </w:r>
      <w:r w:rsidR="00E92879">
        <w:t>.</w:t>
      </w:r>
    </w:p>
    <w:p w:rsidR="002422EB" w:rsidRDefault="00224158" w:rsidP="00AF7556">
      <w:pPr>
        <w:spacing w:line="480" w:lineRule="auto"/>
        <w:ind w:firstLine="720"/>
      </w:pPr>
      <w:r>
        <w:t>Here are several other</w:t>
      </w:r>
      <w:r w:rsidR="002422EB">
        <w:t xml:space="preserve"> chief strengths of the book</w:t>
      </w:r>
      <w:r w:rsidR="006570E8">
        <w:t>:</w:t>
      </w:r>
    </w:p>
    <w:p w:rsidR="002422EB" w:rsidRDefault="00224158" w:rsidP="00AF7556">
      <w:pPr>
        <w:pStyle w:val="ListParagraph"/>
        <w:numPr>
          <w:ilvl w:val="0"/>
          <w:numId w:val="2"/>
        </w:numPr>
        <w:spacing w:line="480" w:lineRule="auto"/>
      </w:pPr>
      <w:r>
        <w:t>It updates</w:t>
      </w:r>
      <w:r w:rsidR="002422EB">
        <w:t xml:space="preserve"> the virtue-as-skill model to reflect the most recent and best evidence on acquisition and maintenance of expertise. </w:t>
      </w:r>
      <w:r w:rsidR="00E97CA7">
        <w:t>Alternative</w:t>
      </w:r>
      <w:r w:rsidR="00EB7E85">
        <w:t xml:space="preserve"> virtue-as-skill</w:t>
      </w:r>
      <w:r w:rsidR="002422EB">
        <w:t xml:space="preserve"> models</w:t>
      </w:r>
      <w:r>
        <w:t xml:space="preserve"> (</w:t>
      </w:r>
      <w:proofErr w:type="spellStart"/>
      <w:r w:rsidR="00E97CA7">
        <w:t>Coeckelbergh</w:t>
      </w:r>
      <w:proofErr w:type="spellEnd"/>
      <w:r w:rsidR="00E97CA7">
        <w:t xml:space="preserve"> 2019</w:t>
      </w:r>
      <w:r>
        <w:t>)</w:t>
      </w:r>
      <w:r w:rsidR="002422EB">
        <w:t xml:space="preserve"> </w:t>
      </w:r>
      <w:r w:rsidR="00403E2A">
        <w:t>tend</w:t>
      </w:r>
      <w:r w:rsidR="002422EB">
        <w:t xml:space="preserve"> to rely on the outdated Dreyfus</w:t>
      </w:r>
      <w:r w:rsidR="00E97CA7">
        <w:t xml:space="preserve"> &amp; Dre</w:t>
      </w:r>
      <w:r w:rsidR="00403E2A">
        <w:t>y</w:t>
      </w:r>
      <w:r w:rsidR="00E97CA7">
        <w:t>fus (1980)</w:t>
      </w:r>
      <w:r w:rsidR="002422EB">
        <w:t xml:space="preserve"> </w:t>
      </w:r>
      <w:r>
        <w:t>approach</w:t>
      </w:r>
      <w:r w:rsidR="002422EB">
        <w:t xml:space="preserve"> or on </w:t>
      </w:r>
      <w:r w:rsidR="00662C9B">
        <w:t>speculations by Aristotle and other ancients</w:t>
      </w:r>
      <w:r>
        <w:t xml:space="preserve"> (Annas</w:t>
      </w:r>
      <w:r w:rsidR="00674C1B">
        <w:t xml:space="preserve"> 2011</w:t>
      </w:r>
      <w:r>
        <w:t>)</w:t>
      </w:r>
      <w:r w:rsidR="00662C9B">
        <w:t>.</w:t>
      </w:r>
    </w:p>
    <w:p w:rsidR="00662C9B" w:rsidRDefault="00F91DA5" w:rsidP="00AF7556">
      <w:pPr>
        <w:pStyle w:val="ListParagraph"/>
        <w:numPr>
          <w:ilvl w:val="0"/>
          <w:numId w:val="2"/>
        </w:numPr>
        <w:spacing w:line="480" w:lineRule="auto"/>
      </w:pPr>
      <w:r>
        <w:t>Unlike any other account I have seen, it</w:t>
      </w:r>
      <w:r w:rsidR="00403E2A">
        <w:t xml:space="preserve"> provides an</w:t>
      </w:r>
      <w:r w:rsidR="00662C9B">
        <w:t xml:space="preserve"> account of virtue acquisition through habituation that is sufficiently precise about what counts as success-prone habituation to provide guidance about the conditions under which habituation is liable to work. (More on this below.)</w:t>
      </w:r>
    </w:p>
    <w:p w:rsidR="00662C9B" w:rsidRDefault="00F91DA5" w:rsidP="00AF7556">
      <w:pPr>
        <w:pStyle w:val="ListParagraph"/>
        <w:numPr>
          <w:ilvl w:val="0"/>
          <w:numId w:val="2"/>
        </w:numPr>
        <w:spacing w:line="480" w:lineRule="auto"/>
      </w:pPr>
      <w:r>
        <w:t xml:space="preserve">It </w:t>
      </w:r>
      <w:proofErr w:type="gramStart"/>
      <w:r>
        <w:t>offers an</w:t>
      </w:r>
      <w:r w:rsidR="00662C9B">
        <w:t xml:space="preserve"> explanation of</w:t>
      </w:r>
      <w:proofErr w:type="gramEnd"/>
      <w:r w:rsidR="00662C9B">
        <w:t xml:space="preserve"> the essential role of motivation in expertise, skill acquisition, and skill maintenance that overcomes previous challenges to the virtue-as-skill model.</w:t>
      </w:r>
    </w:p>
    <w:p w:rsidR="00662C9B" w:rsidRDefault="009146DD" w:rsidP="00AF7556">
      <w:pPr>
        <w:pStyle w:val="ListParagraph"/>
        <w:numPr>
          <w:ilvl w:val="0"/>
          <w:numId w:val="2"/>
        </w:numPr>
        <w:spacing w:line="480" w:lineRule="auto"/>
      </w:pPr>
      <w:r>
        <w:t>It provides an</w:t>
      </w:r>
      <w:r w:rsidR="00662C9B">
        <w:t xml:space="preserve"> account of practical wisdom that is at once supple and responsive to everyday concerns, while also respecting the importance of practical wisdom.</w:t>
      </w:r>
    </w:p>
    <w:p w:rsidR="00662C9B" w:rsidRDefault="009146DD" w:rsidP="00AF7556">
      <w:pPr>
        <w:pStyle w:val="ListParagraph"/>
        <w:numPr>
          <w:ilvl w:val="0"/>
          <w:numId w:val="2"/>
        </w:numPr>
        <w:spacing w:line="480" w:lineRule="auto"/>
      </w:pPr>
      <w:r>
        <w:t>It offers a</w:t>
      </w:r>
      <w:r w:rsidR="00662C9B">
        <w:t xml:space="preserve"> response to the situationist challenge that amounts to more than just pounding one’s fist on the table (though more on this below)</w:t>
      </w:r>
      <w:r>
        <w:t>.</w:t>
      </w:r>
    </w:p>
    <w:p w:rsidR="007A34BE" w:rsidRDefault="007A34BE" w:rsidP="00AF7556">
      <w:pPr>
        <w:spacing w:line="480" w:lineRule="auto"/>
      </w:pPr>
      <w:r>
        <w:t>In the remainder of this commentary, I make some remarks about specific parts of the book.</w:t>
      </w:r>
    </w:p>
    <w:p w:rsidR="00662C9B" w:rsidRDefault="007A34BE" w:rsidP="00AF7556">
      <w:pPr>
        <w:spacing w:line="480" w:lineRule="auto"/>
        <w:ind w:firstLine="720"/>
      </w:pPr>
      <w:r>
        <w:lastRenderedPageBreak/>
        <w:t xml:space="preserve">First, </w:t>
      </w:r>
      <w:r w:rsidR="0086249B">
        <w:t>one concern</w:t>
      </w:r>
      <w:r w:rsidR="00701CF6">
        <w:t xml:space="preserve"> has to do with the distinction between virtues the possession of which is consistent with wanting to be in their eliciting conditions and virtues the possession of which is </w:t>
      </w:r>
      <w:r w:rsidR="00701CF6" w:rsidRPr="00483A9C">
        <w:t>inconsistent</w:t>
      </w:r>
      <w:r w:rsidR="00701CF6">
        <w:t xml:space="preserve"> with wanting to be in their eliciting conditions</w:t>
      </w:r>
      <w:r w:rsidR="005F28AE">
        <w:t xml:space="preserve"> (</w:t>
      </w:r>
      <w:r w:rsidR="00AA2913">
        <w:t>Alfano 2016: 134</w:t>
      </w:r>
      <w:r w:rsidR="005F28AE">
        <w:t>)</w:t>
      </w:r>
      <w:r w:rsidR="00701CF6">
        <w:t xml:space="preserve">. The latter are especially difficult to acquire because wanting to practice them is something you shouldn’t do if you possess them. Think of martial courage. Someone who genuinely possesses this virtue doesn’t </w:t>
      </w:r>
      <w:r w:rsidR="00701CF6" w:rsidRPr="007A34BE">
        <w:rPr>
          <w:i/>
        </w:rPr>
        <w:t>want</w:t>
      </w:r>
      <w:r w:rsidR="00701CF6">
        <w:t xml:space="preserve"> to be</w:t>
      </w:r>
      <w:r w:rsidR="00AA2913">
        <w:t xml:space="preserve"> in</w:t>
      </w:r>
      <w:r w:rsidR="00701CF6">
        <w:t xml:space="preserve"> combat, but is able to manage themselves well when they are. But if virtues are acquired through deliberate practice, how is such a virtue to be acquired? The disposition that’s more likely to be developed is the one seen in the main character of </w:t>
      </w:r>
      <w:r w:rsidR="00701CF6" w:rsidRPr="007A34BE">
        <w:rPr>
          <w:i/>
        </w:rPr>
        <w:t>The Hurt Locker</w:t>
      </w:r>
      <w:r w:rsidR="00701CF6">
        <w:t xml:space="preserve"> — a disposition that Pericles also recommends to his fellow Athenians in his famous funeral oration</w:t>
      </w:r>
      <w:r w:rsidR="005F1452">
        <w:t xml:space="preserve"> (</w:t>
      </w:r>
      <w:r w:rsidR="00A80B86">
        <w:t>Whitaker 1999</w:t>
      </w:r>
      <w:r w:rsidR="005F1452">
        <w:t>)</w:t>
      </w:r>
      <w:r w:rsidR="00701CF6">
        <w:t xml:space="preserve"> — </w:t>
      </w:r>
      <w:r w:rsidR="00B6700D">
        <w:t>namely, a taste for combat. This isn’t just something that crops up in military confrontations, though. Think of the active shooter drills that are now being done in American schools.</w:t>
      </w:r>
      <w:r w:rsidR="00A80B86">
        <w:rPr>
          <w:rStyle w:val="FootnoteReference"/>
        </w:rPr>
        <w:footnoteReference w:id="2"/>
      </w:r>
      <w:r w:rsidR="00B6700D">
        <w:t xml:space="preserve"> These are attempts — deeply misconceived attempts, but attempts nonetheless — to engage in exactly the sort of deliberate practice that </w:t>
      </w:r>
      <w:proofErr w:type="spellStart"/>
      <w:r w:rsidR="00A80B86">
        <w:t>Stichter</w:t>
      </w:r>
      <w:proofErr w:type="spellEnd"/>
      <w:r w:rsidR="00B6700D">
        <w:t xml:space="preserve"> recommends. </w:t>
      </w:r>
      <w:r w:rsidR="00A80B86">
        <w:t>What I’ve said here</w:t>
      </w:r>
      <w:r w:rsidR="00B6700D">
        <w:t xml:space="preserve"> is not as such an objection to </w:t>
      </w:r>
      <w:proofErr w:type="spellStart"/>
      <w:r w:rsidR="00A80B86">
        <w:t>Stichter’s</w:t>
      </w:r>
      <w:proofErr w:type="spellEnd"/>
      <w:r w:rsidR="00B6700D">
        <w:t xml:space="preserve"> account of virtue, but it does point to alleged virtues that are going to be especially hard or even impossible to acquire if his model is right. By distinguishing, as he does</w:t>
      </w:r>
      <w:r w:rsidR="00A80B86">
        <w:t xml:space="preserve"> in the book</w:t>
      </w:r>
      <w:r w:rsidR="00B6700D">
        <w:t xml:space="preserve">, various types of courage, </w:t>
      </w:r>
      <w:proofErr w:type="spellStart"/>
      <w:r w:rsidR="00A80B86">
        <w:t>Stichter</w:t>
      </w:r>
      <w:proofErr w:type="spellEnd"/>
      <w:r w:rsidR="00B6700D">
        <w:t xml:space="preserve"> can reduce the scope of impossibility. For example, he canvasses some interesting evidence of the effectiveness of “moral courage” training in helping people confront and stand up to racism and other forms of social prejudice. But this will only take us so far. And it’s not at all clear how many alleged virtues are more like martial courage than moral courage. Chastity springs to mind, but then </w:t>
      </w:r>
      <w:r w:rsidR="00B6700D">
        <w:lastRenderedPageBreak/>
        <w:t>chastity</w:t>
      </w:r>
      <w:r w:rsidR="0086249B">
        <w:t xml:space="preserve"> probably</w:t>
      </w:r>
      <w:r w:rsidR="00B6700D">
        <w:t xml:space="preserve"> isn’t a virtue. On the flipside, generosity and curiosity are exactly the sorts of traits </w:t>
      </w:r>
      <w:r w:rsidR="00B6659D">
        <w:t>whose characteristic behaviors can be practiced by someone who possesses or is on the way to possessing them</w:t>
      </w:r>
      <w:r w:rsidR="00B6700D">
        <w:t>, so we can hold out hope for a least some of the pantheon of virtues</w:t>
      </w:r>
      <w:r w:rsidR="00A80B86">
        <w:t xml:space="preserve"> to be achievable in the virtue-as-skill framework</w:t>
      </w:r>
      <w:r w:rsidR="00B6700D">
        <w:t>.</w:t>
      </w:r>
      <w:r w:rsidR="00E75A6E">
        <w:rPr>
          <w:rStyle w:val="FootnoteReference"/>
        </w:rPr>
        <w:footnoteReference w:id="3"/>
      </w:r>
    </w:p>
    <w:p w:rsidR="001C3628" w:rsidRDefault="0062267A" w:rsidP="00AF7556">
      <w:pPr>
        <w:spacing w:line="480" w:lineRule="auto"/>
        <w:ind w:firstLine="360"/>
      </w:pPr>
      <w:r>
        <w:t>Next, i</w:t>
      </w:r>
      <w:r w:rsidR="001C3628">
        <w:t xml:space="preserve">n chapter 1, </w:t>
      </w:r>
      <w:proofErr w:type="spellStart"/>
      <w:r>
        <w:t>Stichter</w:t>
      </w:r>
      <w:proofErr w:type="spellEnd"/>
      <w:r w:rsidR="001C3628">
        <w:t xml:space="preserve"> distinguishes goal-setting </w:t>
      </w:r>
      <w:r>
        <w:t>from</w:t>
      </w:r>
      <w:r w:rsidR="001C3628">
        <w:t xml:space="preserve"> goal-striving. One is meant to follow the other in strict temporal order. No doubt this is fairly common. I feel thirsty. I decide to go grab a glass of water. Then I enact my plan. But there are also more complex cases. Sometimes we don’t really know what our precise goals are, and we find out (or, more accurately, establish and crystalize) our goals by striving towards something more inchoate and adjusting both our actions and our goals as we go. In other words, striving is sometimes a </w:t>
      </w:r>
      <w:r w:rsidR="001C3628" w:rsidRPr="0062267A">
        <w:rPr>
          <w:i/>
        </w:rPr>
        <w:t>transformative experience</w:t>
      </w:r>
      <w:r w:rsidR="001C3628">
        <w:t>, in which we don’t know in advance what sort of person we’re going to become</w:t>
      </w:r>
      <w:r w:rsidR="0086249B">
        <w:t xml:space="preserve"> (Paul 2014)</w:t>
      </w:r>
      <w:r w:rsidR="001C3628">
        <w:t xml:space="preserve">. Virtue acquisition is presumably a paradigm case of such transformative striving. </w:t>
      </w:r>
      <w:r>
        <w:t xml:space="preserve">This point is largely neglected in </w:t>
      </w:r>
      <w:r>
        <w:rPr>
          <w:i/>
        </w:rPr>
        <w:t>The Skillfulness of Virtue</w:t>
      </w:r>
      <w:r w:rsidR="001C3628">
        <w:t>.</w:t>
      </w:r>
      <w:r w:rsidR="00AF7556">
        <w:t xml:space="preserve"> Furthermore, </w:t>
      </w:r>
      <w:r w:rsidR="00047D68">
        <w:t xml:space="preserve">I also found it a bit unclear what exactly </w:t>
      </w:r>
      <w:proofErr w:type="spellStart"/>
      <w:r>
        <w:t>Stichter</w:t>
      </w:r>
      <w:proofErr w:type="spellEnd"/>
      <w:r w:rsidR="00047D68">
        <w:t xml:space="preserve"> thinks a goal is. In many cases, a goal seems to be a desired or valued state of affairs</w:t>
      </w:r>
      <w:r w:rsidR="009021BA">
        <w:t xml:space="preserve"> — s</w:t>
      </w:r>
      <w:r w:rsidR="00047D68">
        <w:t>omething that can be achieved. He gives the example of being physically fit (p. 13). However, sometimes a goal seems to be an action. He gives the example of joining a gym. A more careful account of what a goal is would be helpful in this context.</w:t>
      </w:r>
    </w:p>
    <w:p w:rsidR="00047D68" w:rsidRDefault="0062267A" w:rsidP="00AF7556">
      <w:pPr>
        <w:spacing w:line="480" w:lineRule="auto"/>
        <w:ind w:firstLine="360"/>
      </w:pPr>
      <w:r>
        <w:t>Also in chapter 1</w:t>
      </w:r>
      <w:r w:rsidR="00354096">
        <w:t xml:space="preserve"> </w:t>
      </w:r>
      <w:r>
        <w:t xml:space="preserve">(but </w:t>
      </w:r>
      <w:r w:rsidR="009021BA">
        <w:t>again</w:t>
      </w:r>
      <w:r>
        <w:t xml:space="preserve"> </w:t>
      </w:r>
      <w:r w:rsidR="00354096">
        <w:t>in chapter 5</w:t>
      </w:r>
      <w:r>
        <w:t>)</w:t>
      </w:r>
      <w:r w:rsidR="00354096">
        <w:t xml:space="preserve">, </w:t>
      </w:r>
      <w:proofErr w:type="spellStart"/>
      <w:r>
        <w:t>Stichter</w:t>
      </w:r>
      <w:proofErr w:type="spellEnd"/>
      <w:r w:rsidR="00354096">
        <w:t xml:space="preserve"> points out that if the virtue-as-skill model is right, then virtue acquisition is going to be possible only in a sufficiently regular environment </w:t>
      </w:r>
      <w:r w:rsidR="00354096">
        <w:lastRenderedPageBreak/>
        <w:t xml:space="preserve">in which there’s adequate opportunity to practice with the benefit of rapid, unequivocal, and accurate feedback (p. 30). These constraints are one reason why it’s harder to </w:t>
      </w:r>
      <w:r w:rsidR="00714BF4">
        <w:t>learn to pilot a barge than</w:t>
      </w:r>
      <w:r w:rsidR="00354096">
        <w:t xml:space="preserve"> to</w:t>
      </w:r>
      <w:r w:rsidR="00714BF4">
        <w:t xml:space="preserve"> learn to</w:t>
      </w:r>
      <w:r w:rsidR="00354096">
        <w:t xml:space="preserve"> drive a car</w:t>
      </w:r>
      <w:r w:rsidR="00714BF4">
        <w:t xml:space="preserve">: </w:t>
      </w:r>
      <w:r w:rsidR="00354096">
        <w:t xml:space="preserve">feedback in the barge </w:t>
      </w:r>
      <w:r w:rsidR="00714BF4">
        <w:t>training</w:t>
      </w:r>
      <w:r w:rsidR="00354096">
        <w:t xml:space="preserve"> is on a longer time-delay. </w:t>
      </w:r>
      <w:r w:rsidR="000501EC">
        <w:t>It’s also why it’s basically impossible to acquire expertise in picking stocks</w:t>
      </w:r>
      <w:r w:rsidR="00714BF4">
        <w:t xml:space="preserve">: the stock market is too noisy </w:t>
      </w:r>
      <w:r w:rsidR="00B11943">
        <w:t xml:space="preserve">(in the informational and statistical sense of the term) </w:t>
      </w:r>
      <w:r w:rsidR="00714BF4">
        <w:t>and irregular</w:t>
      </w:r>
      <w:r w:rsidR="009021BA">
        <w:t xml:space="preserve"> a training environment</w:t>
      </w:r>
      <w:r w:rsidR="000501EC">
        <w:t xml:space="preserve">. </w:t>
      </w:r>
      <w:proofErr w:type="spellStart"/>
      <w:r w:rsidR="00714BF4">
        <w:t>Stichter</w:t>
      </w:r>
      <w:proofErr w:type="spellEnd"/>
      <w:r w:rsidR="000501EC">
        <w:t xml:space="preserve"> seems to assume without much argument that </w:t>
      </w:r>
      <w:r w:rsidR="000501EC" w:rsidRPr="0062267A">
        <w:rPr>
          <w:i/>
        </w:rPr>
        <w:t>life</w:t>
      </w:r>
      <w:r w:rsidR="000501EC">
        <w:t xml:space="preserve"> — including especially moral life — is more like driving a car or maybe piloting a barge than it is like picking stocks. I’m not sure why he is so optimistic. Is moral life really as regular as </w:t>
      </w:r>
      <w:proofErr w:type="spellStart"/>
      <w:r w:rsidR="00714BF4">
        <w:t>Stichter</w:t>
      </w:r>
      <w:proofErr w:type="spellEnd"/>
      <w:r w:rsidR="000501EC">
        <w:t xml:space="preserve"> needs it to be? Perhaps in small-band hunter-gatherer communities</w:t>
      </w:r>
      <w:r w:rsidR="00714BF4">
        <w:t xml:space="preserve"> it might be</w:t>
      </w:r>
      <w:r w:rsidR="000501EC">
        <w:t xml:space="preserve">, but </w:t>
      </w:r>
      <w:r w:rsidR="00714BF4">
        <w:t>what about the</w:t>
      </w:r>
      <w:r w:rsidR="000501EC">
        <w:t xml:space="preserve"> industrialized kakistocracies</w:t>
      </w:r>
      <w:r w:rsidR="00714BF4">
        <w:t xml:space="preserve"> that many people find themselves living in</w:t>
      </w:r>
      <w:r w:rsidR="000501EC">
        <w:t xml:space="preserve">? Likewise, the feedback we get on our moral (and immoral actions) is often not rapid, unequivocal, or accurate. </w:t>
      </w:r>
      <w:r w:rsidR="00714BF4">
        <w:t>Regarding</w:t>
      </w:r>
      <w:r w:rsidR="000501EC">
        <w:t xml:space="preserve"> rapidity: sometimes it takes days, weeks, or decades to learn whether one’s moral decision was the right one to make. Sometimes one never finds out. </w:t>
      </w:r>
      <w:r w:rsidR="00714BF4">
        <w:t>Regarding</w:t>
      </w:r>
      <w:r w:rsidR="000501EC">
        <w:t xml:space="preserve"> univocal feedback: for many of our most weighty moral actions, we are likely to receive mixed feedback. And </w:t>
      </w:r>
      <w:r w:rsidR="00714BF4">
        <w:t>regarding</w:t>
      </w:r>
      <w:r w:rsidR="000501EC">
        <w:t xml:space="preserve"> accuracy: just think of all the feedback </w:t>
      </w:r>
      <w:r w:rsidR="005F0291">
        <w:t xml:space="preserve">that </w:t>
      </w:r>
      <w:r w:rsidR="000501EC">
        <w:t xml:space="preserve">protest movements such as </w:t>
      </w:r>
      <w:r w:rsidR="00714BF4">
        <w:t>Martin Luther King’s</w:t>
      </w:r>
      <w:r w:rsidR="000501EC">
        <w:t>, the ongoing Black Lives Matte</w:t>
      </w:r>
      <w:r w:rsidR="008851FF">
        <w:t>r</w:t>
      </w:r>
      <w:r w:rsidR="000501EC">
        <w:t xml:space="preserve"> movement, and the #</w:t>
      </w:r>
      <w:proofErr w:type="spellStart"/>
      <w:r w:rsidR="000501EC">
        <w:t>MeToo</w:t>
      </w:r>
      <w:proofErr w:type="spellEnd"/>
      <w:r w:rsidR="000501EC">
        <w:t xml:space="preserve"> movement receive.</w:t>
      </w:r>
      <w:r w:rsidR="00BD4C67">
        <w:t xml:space="preserve"> Being on the receiving end of a police beatdown or the victim of a pepper-spray attack isn’t exactly positive feedback.</w:t>
      </w:r>
      <w:r w:rsidR="000501EC">
        <w:t xml:space="preserve"> Again, this is not an objection to the virtue-as-skill model as such. But what it suggests is that if virtues really are skills, we are going to have a very difficult time acquiring a range of extremely important virtues</w:t>
      </w:r>
      <w:r w:rsidR="00714BF4">
        <w:t xml:space="preserve"> — perhaps the ones we need most to make </w:t>
      </w:r>
      <w:r w:rsidR="00BD4C67">
        <w:t>urgent</w:t>
      </w:r>
      <w:r w:rsidR="00714BF4">
        <w:t xml:space="preserve"> political changes</w:t>
      </w:r>
      <w:r w:rsidR="000501EC">
        <w:t>.</w:t>
      </w:r>
      <w:r w:rsidR="00714BF4">
        <w:rPr>
          <w:rStyle w:val="FootnoteReference"/>
        </w:rPr>
        <w:footnoteReference w:id="4"/>
      </w:r>
    </w:p>
    <w:p w:rsidR="00241D2B" w:rsidRDefault="00346FF3" w:rsidP="00130772">
      <w:pPr>
        <w:spacing w:line="480" w:lineRule="auto"/>
        <w:ind w:firstLine="720"/>
      </w:pPr>
      <w:r>
        <w:lastRenderedPageBreak/>
        <w:t xml:space="preserve">Moving on to chapter 2, one of </w:t>
      </w:r>
      <w:proofErr w:type="spellStart"/>
      <w:r w:rsidR="00130772">
        <w:t>Stichter’s</w:t>
      </w:r>
      <w:proofErr w:type="spellEnd"/>
      <w:r>
        <w:t xml:space="preserve"> key insights (p. 71) is that there is a certain relativity to </w:t>
      </w:r>
      <w:r w:rsidR="00241D2B">
        <w:t xml:space="preserve">what virtue recommends. More specifically, what you should do depends on what you can (reasonably expect to be able to) do, so the right course of action will depend on how far you’ve come in developing whichever virtues are relevant in a given context. The right thing for a novice to do will sometimes differ from the right thing for an expert to do. More generally in chapter 2, I began to wonder whether the picture that emerges from </w:t>
      </w:r>
      <w:proofErr w:type="spellStart"/>
      <w:r w:rsidR="009021BA">
        <w:t>Stichter’s</w:t>
      </w:r>
      <w:proofErr w:type="spellEnd"/>
      <w:r w:rsidR="00241D2B">
        <w:t xml:space="preserve"> account requires what we might call a </w:t>
      </w:r>
      <w:r w:rsidR="00241D2B" w:rsidRPr="00130772">
        <w:rPr>
          <w:i/>
        </w:rPr>
        <w:t>division of moral labor</w:t>
      </w:r>
      <w:r w:rsidR="00241D2B">
        <w:t>. Philosophers have addressed the division of cognitive labor in, for example, scientific collaborations. Given how much time and effort go into acquiring expertise, it’s understandable that we don’t expect one person to have all the expertise required to conduct interdisciplinary inquiry. If moral virtues are forms of expertise, should we also expect a division of moral labor? I’ll take care of the courage, you take care of the kindness, she takes care of the humility, he takes care of the chastity? I’m a bit skeptical that this will work, but I also don’t see how we can reasonably expect everyone to develop the full panoply</w:t>
      </w:r>
      <w:r w:rsidR="00130772">
        <w:t xml:space="preserve"> of virtues</w:t>
      </w:r>
      <w:r w:rsidR="00241D2B">
        <w:t>.</w:t>
      </w:r>
    </w:p>
    <w:p w:rsidR="00DA60FF" w:rsidRDefault="00130772" w:rsidP="00130772">
      <w:pPr>
        <w:spacing w:line="480" w:lineRule="auto"/>
        <w:ind w:firstLine="720"/>
      </w:pPr>
      <w:r>
        <w:t>Turning next to</w:t>
      </w:r>
      <w:r w:rsidR="00DA60FF">
        <w:t xml:space="preserve"> chapter 3, </w:t>
      </w:r>
      <w:proofErr w:type="spellStart"/>
      <w:r>
        <w:t>Stichter</w:t>
      </w:r>
      <w:proofErr w:type="spellEnd"/>
      <w:r w:rsidR="00DA60FF">
        <w:t xml:space="preserve"> follows </w:t>
      </w:r>
      <w:proofErr w:type="spellStart"/>
      <w:r w:rsidR="00DA60FF">
        <w:t>Quassim</w:t>
      </w:r>
      <w:proofErr w:type="spellEnd"/>
      <w:r w:rsidR="00DA60FF">
        <w:t xml:space="preserve"> </w:t>
      </w:r>
      <w:proofErr w:type="spellStart"/>
      <w:r w:rsidR="00DA60FF">
        <w:t>Cassam’s</w:t>
      </w:r>
      <w:proofErr w:type="spellEnd"/>
      <w:r w:rsidR="00DA60FF">
        <w:t xml:space="preserve"> </w:t>
      </w:r>
      <w:r>
        <w:t>(</w:t>
      </w:r>
      <w:r w:rsidR="006D7F68">
        <w:t>2015</w:t>
      </w:r>
      <w:r>
        <w:t xml:space="preserve">) </w:t>
      </w:r>
      <w:r w:rsidR="00DA60FF">
        <w:t xml:space="preserve">Kantian analogy in arguing that we want people who are developing expertise in epistemic virtues to care about the truth </w:t>
      </w:r>
      <w:r w:rsidR="008851FF">
        <w:t xml:space="preserve">intrinsically </w:t>
      </w:r>
      <w:r w:rsidR="00DA60FF">
        <w:t xml:space="preserve">(p. 115). The basic idea here is that, just as respect for persons means not treating them as mere means, so respect for the truth means not treating it as a mere means. I confess that I almost always find Kantian arguments implausible, so for those with my </w:t>
      </w:r>
      <w:r w:rsidR="00AE0ADE">
        <w:t xml:space="preserve">philosophical </w:t>
      </w:r>
      <w:r w:rsidR="00DA60FF">
        <w:t xml:space="preserve">taste, it might be more plausible to suggest that the reason we want people to care intrinsically about the truth is that this makes their intellectual virtue more modally robust in Philip Pettit’s </w:t>
      </w:r>
      <w:r w:rsidR="00AE0ADE">
        <w:t xml:space="preserve">(2015) </w:t>
      </w:r>
      <w:r w:rsidR="00DA60FF">
        <w:t xml:space="preserve">sense. The skilled doctor who really knows her stuff but is motivated only </w:t>
      </w:r>
      <w:r w:rsidR="00DA60FF">
        <w:lastRenderedPageBreak/>
        <w:t xml:space="preserve">by profit is more liable in a range of counterfactual scenarios to stop being an expert or </w:t>
      </w:r>
      <w:r w:rsidR="00AB1898">
        <w:t xml:space="preserve">to </w:t>
      </w:r>
      <w:r w:rsidR="001578B1">
        <w:t xml:space="preserve">misuse her expertise. Think </w:t>
      </w:r>
      <w:proofErr w:type="spellStart"/>
      <w:r w:rsidR="001578B1">
        <w:t>Theranos</w:t>
      </w:r>
      <w:proofErr w:type="spellEnd"/>
      <w:r w:rsidR="001578B1">
        <w:t>.</w:t>
      </w:r>
      <w:r w:rsidR="00AB1898">
        <w:rPr>
          <w:rStyle w:val="FootnoteReference"/>
        </w:rPr>
        <w:footnoteReference w:id="5"/>
      </w:r>
    </w:p>
    <w:p w:rsidR="003B0125" w:rsidRDefault="003B0125" w:rsidP="00566858">
      <w:pPr>
        <w:spacing w:line="480" w:lineRule="auto"/>
        <w:ind w:firstLine="720"/>
      </w:pPr>
      <w:r>
        <w:t>I have less to say about practical wisdom, so I now jump to chapter 5.</w:t>
      </w:r>
      <w:r w:rsidR="00566858">
        <w:t xml:space="preserve"> </w:t>
      </w:r>
      <w:r>
        <w:t xml:space="preserve">The situationist challenges to virtue ethics and virtue epistemology have been troubling philosophers for a couple </w:t>
      </w:r>
      <w:r w:rsidR="00BB357C">
        <w:t xml:space="preserve">of </w:t>
      </w:r>
      <w:r>
        <w:t xml:space="preserve">decades. In chapter 5, </w:t>
      </w:r>
      <w:proofErr w:type="spellStart"/>
      <w:r w:rsidR="009021BA">
        <w:t>Stichter</w:t>
      </w:r>
      <w:proofErr w:type="spellEnd"/>
      <w:r>
        <w:t xml:space="preserve"> offers a new take on the debate. </w:t>
      </w:r>
      <w:r w:rsidR="000E6DFB">
        <w:t>The essential problem posed by the situationist challenge</w:t>
      </w:r>
      <w:r w:rsidR="00566858">
        <w:t xml:space="preserve"> </w:t>
      </w:r>
      <w:r w:rsidR="000E6DFB">
        <w:t>is that there seems to be evidence that people are responsive to a range of somewhat bizarre, normatively irrelevant, and seemingly trivial situations in both their mental lives and their behavior</w:t>
      </w:r>
      <w:r w:rsidR="00566858">
        <w:t xml:space="preserve"> (</w:t>
      </w:r>
      <w:r w:rsidR="006872C4">
        <w:t xml:space="preserve">Doris 1998; </w:t>
      </w:r>
      <w:r w:rsidR="00566858">
        <w:t>Alfano 2012, 2013)</w:t>
      </w:r>
      <w:r w:rsidR="000E6DFB">
        <w:t xml:space="preserve">. These situational influences include things like ambient </w:t>
      </w:r>
      <w:proofErr w:type="spellStart"/>
      <w:r w:rsidR="000E6DFB">
        <w:t>sensibilia</w:t>
      </w:r>
      <w:proofErr w:type="spellEnd"/>
      <w:r w:rsidR="000E6DFB">
        <w:t xml:space="preserve"> (light, noise, heat, cold), subtle frames on decision making, and other stuff that social psychologists have been documenting for decades. Some of them, like the presence of others who are either responding to an emergency or ignoring it, are pretty understandable. If others aren’t reacting, I might reasonably (though erroneously) infer that they’ve already checked and </w:t>
      </w:r>
      <w:r w:rsidR="00703C5A">
        <w:t xml:space="preserve">confirmed that </w:t>
      </w:r>
      <w:bookmarkStart w:id="0" w:name="_GoBack"/>
      <w:bookmarkEnd w:id="0"/>
      <w:r w:rsidR="000E6DFB">
        <w:t xml:space="preserve">nothing is wrong. But it’s just baffling to think that whether one ends up treating other people in a kind or unkind way would depend on whether one was holding a warm mug of hot coffee or a cold glass of iced coffee. </w:t>
      </w:r>
      <w:r w:rsidR="00691143">
        <w:t>Such influences are</w:t>
      </w:r>
      <w:r w:rsidR="000E6DFB">
        <w:t xml:space="preserve"> influences “non</w:t>
      </w:r>
      <w:r w:rsidR="00566858">
        <w:t>-</w:t>
      </w:r>
      <w:r w:rsidR="000E6DFB">
        <w:t xml:space="preserve">reasons” </w:t>
      </w:r>
      <w:r w:rsidR="00566858">
        <w:t>(Alfano 2013, chapter 2</w:t>
      </w:r>
      <w:r w:rsidR="00691143">
        <w:t>; Doris 2017</w:t>
      </w:r>
      <w:r w:rsidR="00566858">
        <w:t xml:space="preserve">) </w:t>
      </w:r>
      <w:r w:rsidR="000E6DFB">
        <w:t>because, unlike temptations, they seem to lead us to act poorly (even by our own standards) for no reason at all. Well, here’s the good news: almost all of these studies don’t replicate. Basically all of the embodied cognition literature turns out to have been bunk — especially the embodied metaphors literature</w:t>
      </w:r>
      <w:r w:rsidR="00111B2C">
        <w:t xml:space="preserve"> (Klein et </w:t>
      </w:r>
      <w:r w:rsidR="00111B2C">
        <w:lastRenderedPageBreak/>
        <w:t>al. 2014; Klein et al. 2017; Ebersole et al. 2016)</w:t>
      </w:r>
      <w:r w:rsidR="000E6DFB">
        <w:t>. But the bright side</w:t>
      </w:r>
      <w:r w:rsidR="00566858">
        <w:t xml:space="preserve"> of this replication crisis</w:t>
      </w:r>
      <w:r w:rsidR="000E6DFB">
        <w:t xml:space="preserve"> is that</w:t>
      </w:r>
      <w:r w:rsidR="00566858">
        <w:t xml:space="preserve"> the</w:t>
      </w:r>
      <w:r w:rsidR="000E6DFB">
        <w:t xml:space="preserve"> thorniest problem posed by the situationist challenge was a mirage.</w:t>
      </w:r>
    </w:p>
    <w:p w:rsidR="000E6DFB" w:rsidRDefault="0044757C" w:rsidP="00111B2C">
      <w:pPr>
        <w:spacing w:line="480" w:lineRule="auto"/>
        <w:ind w:firstLine="720"/>
      </w:pPr>
      <w:r>
        <w:t>Still, that doesn’t mean that social psychology poses no challenges to certain conceptions of virtue</w:t>
      </w:r>
      <w:r w:rsidR="00111B2C">
        <w:t xml:space="preserve">, and I appreciate the way that </w:t>
      </w:r>
      <w:proofErr w:type="spellStart"/>
      <w:r w:rsidR="00111B2C">
        <w:t>Stichter</w:t>
      </w:r>
      <w:proofErr w:type="spellEnd"/>
      <w:r>
        <w:t xml:space="preserve"> handles these challenges in chapter 5. Essentially, what he says is that </w:t>
      </w:r>
      <w:r w:rsidR="00D61763">
        <w:t xml:space="preserve">we should see this work in social psychology as providing a to-do list for individual and communal moral improvement. If these are the sorts of obstacles we face in being and doing good, we need to develop strategies (such as implementation intentions) for the most consequential problems </w:t>
      </w:r>
      <w:r w:rsidR="0013406A">
        <w:t>(</w:t>
      </w:r>
      <w:r w:rsidR="00D61763">
        <w:t>such as the unresponsive bystander effect</w:t>
      </w:r>
      <w:r w:rsidR="0013406A">
        <w:t>)</w:t>
      </w:r>
      <w:r w:rsidR="00D61763">
        <w:t>.</w:t>
      </w:r>
    </w:p>
    <w:p w:rsidR="00F97CA9" w:rsidRDefault="006C2219" w:rsidP="00F97CA9">
      <w:pPr>
        <w:spacing w:line="480" w:lineRule="auto"/>
        <w:ind w:firstLine="720"/>
      </w:pPr>
      <w:r>
        <w:t xml:space="preserve">Another </w:t>
      </w:r>
      <w:r w:rsidR="00111B2C">
        <w:t>valuable</w:t>
      </w:r>
      <w:r>
        <w:t xml:space="preserve"> point that </w:t>
      </w:r>
      <w:proofErr w:type="spellStart"/>
      <w:r w:rsidR="00111B2C">
        <w:t>Stichter</w:t>
      </w:r>
      <w:proofErr w:type="spellEnd"/>
      <w:r>
        <w:t xml:space="preserve"> makes (p. 148) is that, on the virtue-as-skill model, we can reasonably decide that outright expertise in a given virtue is supererogatory. What we then end up with is a satisficing approach to virtue that focuses on getting everyone above a minimal threshold of competence (moral and epistemic decency, we might call it) while also being able to praise supererogatory expertise in virtue.</w:t>
      </w:r>
      <w:r w:rsidR="00602332">
        <w:rPr>
          <w:rStyle w:val="FootnoteReference"/>
        </w:rPr>
        <w:footnoteReference w:id="6"/>
      </w:r>
      <w:r>
        <w:t xml:space="preserve"> Perhaps this point helps him address my question about the potential for a division of moral labor above.</w:t>
      </w:r>
      <w:r w:rsidR="002D426C">
        <w:t xml:space="preserve"> I do want to point out, though, that this satisficing approach is probably inconsistent with the pipe-dream of defining other normative concepts — such as right and wrong action — in terms of what the virtuous person would do, as </w:t>
      </w:r>
      <w:proofErr w:type="spellStart"/>
      <w:r w:rsidR="002D426C">
        <w:t>Hursthouse</w:t>
      </w:r>
      <w:proofErr w:type="spellEnd"/>
      <w:r w:rsidR="00F97CA9">
        <w:t xml:space="preserve"> (</w:t>
      </w:r>
      <w:r w:rsidR="00CA731D">
        <w:t>1999</w:t>
      </w:r>
      <w:r w:rsidR="00F97CA9">
        <w:t>)</w:t>
      </w:r>
      <w:r w:rsidR="002D426C">
        <w:t xml:space="preserve">, </w:t>
      </w:r>
      <w:proofErr w:type="spellStart"/>
      <w:r w:rsidR="002D426C">
        <w:t>Zagzebski</w:t>
      </w:r>
      <w:proofErr w:type="spellEnd"/>
      <w:r w:rsidR="00F97CA9">
        <w:t xml:space="preserve"> (</w:t>
      </w:r>
      <w:r w:rsidR="00CA731D">
        <w:t>2017</w:t>
      </w:r>
      <w:r w:rsidR="00F97CA9">
        <w:t>)</w:t>
      </w:r>
      <w:r w:rsidR="002D426C">
        <w:t xml:space="preserve">, and others want to do. </w:t>
      </w:r>
    </w:p>
    <w:p w:rsidR="006C2219" w:rsidRDefault="00DE646F" w:rsidP="00F97CA9">
      <w:pPr>
        <w:spacing w:line="480" w:lineRule="auto"/>
        <w:ind w:firstLine="720"/>
      </w:pPr>
      <w:r>
        <w:lastRenderedPageBreak/>
        <w:t xml:space="preserve">The last point I want to bring up relates to </w:t>
      </w:r>
      <w:proofErr w:type="spellStart"/>
      <w:r w:rsidR="00F97CA9">
        <w:t>Stichter’s</w:t>
      </w:r>
      <w:proofErr w:type="spellEnd"/>
      <w:r>
        <w:t xml:space="preserve"> discussion of the relation between the virtue-as-skill model and various forms of moral disengagement. He canvasses six types of disengagement and points out — quite rightly — that “disengagement is mainly fostered by social, political, and economic structures. For example,” he says, “much of corporate culture includes mechanisms that foster disengagement” by, for instance, creating diffusion of responsibility or separating agents from seeing or even knowing about the consequences of their actions via rigid power hierarchies. I’d point out that the modern university often does the same.</w:t>
      </w:r>
      <w:r w:rsidR="000B3DE9">
        <w:t xml:space="preserve"> </w:t>
      </w:r>
    </w:p>
    <w:p w:rsidR="002422EB" w:rsidRDefault="00100463" w:rsidP="002B5B06">
      <w:pPr>
        <w:spacing w:line="480" w:lineRule="auto"/>
        <w:ind w:firstLine="720"/>
      </w:pPr>
      <w:r>
        <w:t xml:space="preserve">In sum, </w:t>
      </w:r>
      <w:proofErr w:type="spellStart"/>
      <w:r>
        <w:t>Stichter’s</w:t>
      </w:r>
      <w:proofErr w:type="spellEnd"/>
      <w:r>
        <w:t xml:space="preserve"> book represents a significant advance for virtue theory, one that respects the constraints imposed by the empirical literature while also articulating a plausible and attractive account of what virtues are, how they are acquired, and how they integrate with practical wisdom.</w:t>
      </w:r>
    </w:p>
    <w:p w:rsidR="003D7CB8" w:rsidRDefault="003D7CB8" w:rsidP="00AF7556">
      <w:pPr>
        <w:spacing w:line="480" w:lineRule="auto"/>
      </w:pPr>
      <w:r>
        <w:br w:type="page"/>
      </w:r>
    </w:p>
    <w:p w:rsidR="002422EB" w:rsidRDefault="003D7CB8" w:rsidP="00AF7556">
      <w:pPr>
        <w:spacing w:line="480" w:lineRule="auto"/>
      </w:pPr>
      <w:r>
        <w:rPr>
          <w:b/>
        </w:rPr>
        <w:lastRenderedPageBreak/>
        <w:t>References</w:t>
      </w:r>
    </w:p>
    <w:p w:rsidR="00566858" w:rsidRDefault="00566858" w:rsidP="00AF7556">
      <w:pPr>
        <w:spacing w:line="480" w:lineRule="auto"/>
        <w:ind w:left="720" w:hanging="720"/>
      </w:pPr>
      <w:r w:rsidRPr="00566858">
        <w:t xml:space="preserve">Alfano, M. (2012). Expanding the situationist challenge to </w:t>
      </w:r>
      <w:proofErr w:type="spellStart"/>
      <w:r w:rsidRPr="00566858">
        <w:t>responsibilist</w:t>
      </w:r>
      <w:proofErr w:type="spellEnd"/>
      <w:r w:rsidRPr="00566858">
        <w:t xml:space="preserve"> virtue epistemology. </w:t>
      </w:r>
      <w:r w:rsidRPr="00566858">
        <w:rPr>
          <w:i/>
        </w:rPr>
        <w:t>Philosophical Quarterly</w:t>
      </w:r>
      <w:r w:rsidRPr="00566858">
        <w:t>, 62(247): 223-49.</w:t>
      </w:r>
    </w:p>
    <w:p w:rsidR="003D7CB8" w:rsidRDefault="003D7CB8" w:rsidP="00AF7556">
      <w:pPr>
        <w:spacing w:line="480" w:lineRule="auto"/>
        <w:ind w:left="720" w:hanging="720"/>
      </w:pPr>
      <w:r>
        <w:t xml:space="preserve">Alfano, M. (2013). </w:t>
      </w:r>
      <w:r>
        <w:rPr>
          <w:i/>
        </w:rPr>
        <w:t>Character as Moral Fiction</w:t>
      </w:r>
      <w:r>
        <w:t>. Cambridge University Press.</w:t>
      </w:r>
    </w:p>
    <w:p w:rsidR="00674C1B" w:rsidRDefault="00674C1B" w:rsidP="00AF7556">
      <w:pPr>
        <w:spacing w:line="480" w:lineRule="auto"/>
        <w:ind w:left="720" w:hanging="720"/>
      </w:pPr>
      <w:r>
        <w:t xml:space="preserve">Annas, J. (2011). </w:t>
      </w:r>
      <w:r>
        <w:rPr>
          <w:i/>
        </w:rPr>
        <w:t>Intelligent Virtue</w:t>
      </w:r>
      <w:r>
        <w:t>. Oxford University Press.</w:t>
      </w:r>
    </w:p>
    <w:p w:rsidR="006D7F68" w:rsidRPr="006D7F68" w:rsidRDefault="006D7F68" w:rsidP="00AF7556">
      <w:pPr>
        <w:spacing w:line="480" w:lineRule="auto"/>
        <w:ind w:left="720" w:hanging="720"/>
      </w:pPr>
      <w:proofErr w:type="spellStart"/>
      <w:r>
        <w:t>Cassam</w:t>
      </w:r>
      <w:proofErr w:type="spellEnd"/>
      <w:r>
        <w:t xml:space="preserve">, Q. (2015). </w:t>
      </w:r>
      <w:r>
        <w:rPr>
          <w:i/>
        </w:rPr>
        <w:t>Self-Knowledge for Humans</w:t>
      </w:r>
      <w:r>
        <w:t xml:space="preserve">. Oxford University Press. </w:t>
      </w:r>
    </w:p>
    <w:p w:rsidR="00674C1B" w:rsidRPr="00674C1B" w:rsidRDefault="00674C1B" w:rsidP="00AF7556">
      <w:pPr>
        <w:spacing w:line="480" w:lineRule="auto"/>
        <w:ind w:left="720" w:hanging="720"/>
      </w:pPr>
      <w:proofErr w:type="spellStart"/>
      <w:r>
        <w:t>Coeckelbergh</w:t>
      </w:r>
      <w:proofErr w:type="spellEnd"/>
      <w:r>
        <w:t xml:space="preserve">, M. (2019). Skillful coping with and through technologies. </w:t>
      </w:r>
      <w:r>
        <w:rPr>
          <w:i/>
        </w:rPr>
        <w:t>AI &amp; Society</w:t>
      </w:r>
      <w:r>
        <w:t>, 34(2): 269-87.</w:t>
      </w:r>
    </w:p>
    <w:p w:rsidR="003D7CB8" w:rsidRDefault="003D7CB8" w:rsidP="00AF7556">
      <w:pPr>
        <w:spacing w:line="480" w:lineRule="auto"/>
        <w:ind w:left="720" w:hanging="720"/>
      </w:pPr>
      <w:r>
        <w:t xml:space="preserve">Doris, J. (1998). </w:t>
      </w:r>
      <w:r>
        <w:rPr>
          <w:i/>
        </w:rPr>
        <w:t>Lack of Character: Personality and Moral Behavior</w:t>
      </w:r>
      <w:r>
        <w:t>. Cambridge University Press.</w:t>
      </w:r>
    </w:p>
    <w:p w:rsidR="00691143" w:rsidRPr="00691143" w:rsidRDefault="00691143" w:rsidP="00AF7556">
      <w:pPr>
        <w:spacing w:line="480" w:lineRule="auto"/>
        <w:ind w:left="720" w:hanging="720"/>
      </w:pPr>
      <w:r>
        <w:t xml:space="preserve">Doris, J. (2017). </w:t>
      </w:r>
      <w:r>
        <w:rPr>
          <w:i/>
        </w:rPr>
        <w:t>Talking To Our Selves: Reflection, Ignorance, and Agency</w:t>
      </w:r>
      <w:r>
        <w:t>. Oxford University Press.</w:t>
      </w:r>
    </w:p>
    <w:p w:rsidR="00674C1B" w:rsidRDefault="00674C1B" w:rsidP="00AF7556">
      <w:pPr>
        <w:spacing w:line="480" w:lineRule="auto"/>
        <w:ind w:left="720" w:hanging="720"/>
      </w:pPr>
      <w:r>
        <w:t>Dreyfus, S. &amp; Dreyfus, H. (1980). A five-stage model of the mental activities involved in directed skill acquisition. Operations Research Centre, University of California, Berkeley.</w:t>
      </w:r>
    </w:p>
    <w:p w:rsidR="00111B2C" w:rsidRPr="00111B2C" w:rsidRDefault="00111B2C" w:rsidP="00111B2C">
      <w:pPr>
        <w:spacing w:line="480" w:lineRule="auto"/>
        <w:ind w:left="720" w:hanging="720"/>
      </w:pPr>
      <w:r w:rsidRPr="00111B2C">
        <w:t xml:space="preserve">Ebersole, C., Atherton, O., Belanger, A., </w:t>
      </w:r>
      <w:proofErr w:type="spellStart"/>
      <w:r w:rsidRPr="00111B2C">
        <w:t>Skulborstad</w:t>
      </w:r>
      <w:proofErr w:type="spellEnd"/>
      <w:r w:rsidRPr="00111B2C">
        <w:t xml:space="preserve">, H., Allen, J., Banks, J., </w:t>
      </w:r>
      <w:proofErr w:type="spellStart"/>
      <w:r w:rsidRPr="00111B2C">
        <w:t>Baranski</w:t>
      </w:r>
      <w:proofErr w:type="spellEnd"/>
      <w:r w:rsidRPr="00111B2C">
        <w:t xml:space="preserve">, E., Bernstein, M., </w:t>
      </w:r>
      <w:proofErr w:type="spellStart"/>
      <w:r w:rsidRPr="00111B2C">
        <w:t>Bonfiglio</w:t>
      </w:r>
      <w:proofErr w:type="spellEnd"/>
      <w:r w:rsidRPr="00111B2C">
        <w:t xml:space="preserve">, D., Boucher, L., Brown, E., </w:t>
      </w:r>
      <w:proofErr w:type="spellStart"/>
      <w:r w:rsidRPr="00111B2C">
        <w:t>Budiman</w:t>
      </w:r>
      <w:proofErr w:type="spellEnd"/>
      <w:r w:rsidRPr="00111B2C">
        <w:t xml:space="preserve">, N., Cairo, A., Capaldi, C., </w:t>
      </w:r>
      <w:proofErr w:type="spellStart"/>
      <w:r w:rsidRPr="00111B2C">
        <w:t>Chartier</w:t>
      </w:r>
      <w:proofErr w:type="spellEnd"/>
      <w:r w:rsidRPr="00111B2C">
        <w:t xml:space="preserve">, C., Chung, J., Cicero, D., Coleman, J., Conway, J., Davis, W., </w:t>
      </w:r>
      <w:proofErr w:type="spellStart"/>
      <w:r w:rsidRPr="00111B2C">
        <w:t>Devos</w:t>
      </w:r>
      <w:proofErr w:type="spellEnd"/>
      <w:r w:rsidRPr="00111B2C">
        <w:t xml:space="preserve">, T., Fletcher, German, K., </w:t>
      </w:r>
      <w:proofErr w:type="spellStart"/>
      <w:r w:rsidRPr="00111B2C">
        <w:t>Grahe</w:t>
      </w:r>
      <w:proofErr w:type="spellEnd"/>
      <w:r w:rsidRPr="00111B2C">
        <w:t xml:space="preserve">, J., Hermann, A., Hicks, J., Honeycutt, N., Humphrey, B., Janus, M., Johnson, D., Joy-Gaba, J., </w:t>
      </w:r>
      <w:proofErr w:type="spellStart"/>
      <w:r w:rsidRPr="00111B2C">
        <w:t>Juzeler</w:t>
      </w:r>
      <w:proofErr w:type="spellEnd"/>
      <w:r w:rsidRPr="00111B2C">
        <w:t xml:space="preserve">, H., Keres, A., Kinney, D., Kirshenbaum, J., Klein, J., Klein, R., Lucas, R., </w:t>
      </w:r>
      <w:proofErr w:type="spellStart"/>
      <w:r w:rsidRPr="00111B2C">
        <w:t>Lustgraaf</w:t>
      </w:r>
      <w:proofErr w:type="spellEnd"/>
      <w:r w:rsidRPr="00111B2C">
        <w:t xml:space="preserve">, C., Martin, D., Menon, M., Metzger, M., </w:t>
      </w:r>
      <w:proofErr w:type="spellStart"/>
      <w:r w:rsidRPr="00111B2C">
        <w:t>Moloney</w:t>
      </w:r>
      <w:proofErr w:type="spellEnd"/>
      <w:r w:rsidRPr="00111B2C">
        <w:t xml:space="preserve">, J., Morse, P., </w:t>
      </w:r>
      <w:proofErr w:type="spellStart"/>
      <w:r w:rsidRPr="00111B2C">
        <w:t>Prislin</w:t>
      </w:r>
      <w:proofErr w:type="spellEnd"/>
      <w:r w:rsidRPr="00111B2C">
        <w:t xml:space="preserve">, R., </w:t>
      </w:r>
      <w:proofErr w:type="spellStart"/>
      <w:r w:rsidRPr="00111B2C">
        <w:t>Razza</w:t>
      </w:r>
      <w:proofErr w:type="spellEnd"/>
      <w:r w:rsidRPr="00111B2C">
        <w:t xml:space="preserve">, T., Re, D., Rule, N., Sacco, D., </w:t>
      </w:r>
      <w:proofErr w:type="spellStart"/>
      <w:r w:rsidRPr="00111B2C">
        <w:t>Sauerberger</w:t>
      </w:r>
      <w:proofErr w:type="spellEnd"/>
      <w:r w:rsidRPr="00111B2C">
        <w:t xml:space="preserve">, K., </w:t>
      </w:r>
      <w:proofErr w:type="spellStart"/>
      <w:r w:rsidRPr="00111B2C">
        <w:t>Shrider</w:t>
      </w:r>
      <w:proofErr w:type="spellEnd"/>
      <w:r w:rsidRPr="00111B2C">
        <w:t xml:space="preserve">, E., Shultz, M, </w:t>
      </w:r>
      <w:proofErr w:type="spellStart"/>
      <w:r w:rsidRPr="00111B2C">
        <w:t>Siemsen</w:t>
      </w:r>
      <w:proofErr w:type="spellEnd"/>
      <w:r w:rsidRPr="00111B2C">
        <w:t xml:space="preserve">, C., </w:t>
      </w:r>
      <w:proofErr w:type="spellStart"/>
      <w:r w:rsidRPr="00111B2C">
        <w:t>Sobocko</w:t>
      </w:r>
      <w:proofErr w:type="spellEnd"/>
      <w:r w:rsidRPr="00111B2C">
        <w:t xml:space="preserve">, K., </w:t>
      </w:r>
      <w:proofErr w:type="spellStart"/>
      <w:r w:rsidRPr="00111B2C">
        <w:t>Sternglanz</w:t>
      </w:r>
      <w:proofErr w:type="spellEnd"/>
      <w:r w:rsidRPr="00111B2C">
        <w:t xml:space="preserve">, R. W., Summerville, </w:t>
      </w:r>
      <w:r w:rsidRPr="00111B2C">
        <w:lastRenderedPageBreak/>
        <w:t xml:space="preserve">A., </w:t>
      </w:r>
      <w:proofErr w:type="spellStart"/>
      <w:r w:rsidRPr="00111B2C">
        <w:t>Tskhay</w:t>
      </w:r>
      <w:proofErr w:type="spellEnd"/>
      <w:r w:rsidRPr="00111B2C">
        <w:t xml:space="preserve">, K., van Allen, Z., Vaughn, L., Walker, R., Weinberg, A., Wilson, J., Wirth, J., Wortman, J., </w:t>
      </w:r>
      <w:proofErr w:type="spellStart"/>
      <w:r w:rsidRPr="00111B2C">
        <w:t>Nosek</w:t>
      </w:r>
      <w:proofErr w:type="spellEnd"/>
      <w:r w:rsidRPr="00111B2C">
        <w:t xml:space="preserve">, B. (2016). Many Labs 3: Evaluating participant pool quality across the academic semester via replication. </w:t>
      </w:r>
      <w:r w:rsidRPr="00111B2C">
        <w:rPr>
          <w:i/>
        </w:rPr>
        <w:t>Journal of Experimental Social Psychology</w:t>
      </w:r>
      <w:r w:rsidRPr="00111B2C">
        <w:t>, 67: 68-82.</w:t>
      </w:r>
    </w:p>
    <w:p w:rsidR="00727D43" w:rsidRDefault="00727D43" w:rsidP="00AF7556">
      <w:pPr>
        <w:spacing w:line="480" w:lineRule="auto"/>
        <w:ind w:left="720" w:hanging="720"/>
      </w:pPr>
      <w:r>
        <w:t xml:space="preserve">Flanagan, O. (1993). </w:t>
      </w:r>
      <w:r>
        <w:rPr>
          <w:i/>
        </w:rPr>
        <w:t>Varieties of Moral Personality: Ethics and Psychological Realism</w:t>
      </w:r>
      <w:r>
        <w:t>. Harvard University Press.</w:t>
      </w:r>
    </w:p>
    <w:p w:rsidR="00CA731D" w:rsidRPr="00CA731D" w:rsidRDefault="00CA731D" w:rsidP="00AF7556">
      <w:pPr>
        <w:spacing w:line="480" w:lineRule="auto"/>
        <w:ind w:left="720" w:hanging="720"/>
      </w:pPr>
      <w:proofErr w:type="spellStart"/>
      <w:r>
        <w:t>Hursthouse</w:t>
      </w:r>
      <w:proofErr w:type="spellEnd"/>
      <w:r>
        <w:t xml:space="preserve">, R. (1999). </w:t>
      </w:r>
      <w:r>
        <w:rPr>
          <w:i/>
        </w:rPr>
        <w:t>On Virtue Ethics</w:t>
      </w:r>
      <w:r>
        <w:t>. Oxford University Press.</w:t>
      </w:r>
    </w:p>
    <w:p w:rsidR="00881391" w:rsidRDefault="00110832" w:rsidP="00AF7556">
      <w:pPr>
        <w:spacing w:line="480" w:lineRule="auto"/>
        <w:ind w:left="720" w:hanging="720"/>
      </w:pPr>
      <w:r>
        <w:t xml:space="preserve">Kerr, N. (1998). </w:t>
      </w:r>
      <w:proofErr w:type="spellStart"/>
      <w:r>
        <w:t>HARKing</w:t>
      </w:r>
      <w:proofErr w:type="spellEnd"/>
      <w:r>
        <w:t xml:space="preserve">: Hypothesizing after the results are known. </w:t>
      </w:r>
      <w:r>
        <w:rPr>
          <w:i/>
        </w:rPr>
        <w:t>Personality and Social Psychology Review</w:t>
      </w:r>
      <w:r>
        <w:t>, 2(3): 196-217.</w:t>
      </w:r>
    </w:p>
    <w:p w:rsidR="00111B2C" w:rsidRPr="00111B2C" w:rsidRDefault="00111B2C" w:rsidP="00111B2C">
      <w:pPr>
        <w:spacing w:line="480" w:lineRule="auto"/>
        <w:ind w:left="720" w:hanging="720"/>
        <w:rPr>
          <w:rFonts w:eastAsia="Times New Roman"/>
        </w:rPr>
      </w:pPr>
      <w:r w:rsidRPr="00111B2C">
        <w:rPr>
          <w:rFonts w:eastAsia="Times New Roman"/>
        </w:rPr>
        <w:t xml:space="preserve">Klein, R., Ratliff, K., </w:t>
      </w:r>
      <w:proofErr w:type="spellStart"/>
      <w:r w:rsidRPr="00111B2C">
        <w:rPr>
          <w:rFonts w:eastAsia="Times New Roman"/>
        </w:rPr>
        <w:t>Vianello</w:t>
      </w:r>
      <w:proofErr w:type="spellEnd"/>
      <w:r w:rsidRPr="00111B2C">
        <w:rPr>
          <w:rFonts w:eastAsia="Times New Roman"/>
        </w:rPr>
        <w:t xml:space="preserve">, M., Adams, R., </w:t>
      </w:r>
      <w:proofErr w:type="spellStart"/>
      <w:r w:rsidRPr="00111B2C">
        <w:rPr>
          <w:rFonts w:eastAsia="Times New Roman"/>
        </w:rPr>
        <w:t>Bahník</w:t>
      </w:r>
      <w:proofErr w:type="spellEnd"/>
      <w:r w:rsidRPr="00111B2C">
        <w:rPr>
          <w:rFonts w:eastAsia="Times New Roman"/>
        </w:rPr>
        <w:t xml:space="preserve">, Š, Bernstein, M., </w:t>
      </w:r>
      <w:proofErr w:type="spellStart"/>
      <w:r w:rsidRPr="00111B2C">
        <w:rPr>
          <w:rFonts w:eastAsia="Times New Roman"/>
        </w:rPr>
        <w:t>Bocian</w:t>
      </w:r>
      <w:proofErr w:type="spellEnd"/>
      <w:r w:rsidRPr="00111B2C">
        <w:rPr>
          <w:rFonts w:eastAsia="Times New Roman"/>
        </w:rPr>
        <w:t xml:space="preserve">, K., Brandt, M., Brooks, B., </w:t>
      </w:r>
      <w:proofErr w:type="spellStart"/>
      <w:r w:rsidRPr="00111B2C">
        <w:rPr>
          <w:rFonts w:eastAsia="Times New Roman"/>
        </w:rPr>
        <w:t>Brumagh</w:t>
      </w:r>
      <w:proofErr w:type="spellEnd"/>
      <w:r w:rsidRPr="00111B2C">
        <w:rPr>
          <w:rFonts w:eastAsia="Times New Roman"/>
        </w:rPr>
        <w:t xml:space="preserve">, C., </w:t>
      </w:r>
      <w:proofErr w:type="spellStart"/>
      <w:r w:rsidRPr="00111B2C">
        <w:rPr>
          <w:rFonts w:eastAsia="Times New Roman"/>
        </w:rPr>
        <w:t>Cemalcilar</w:t>
      </w:r>
      <w:proofErr w:type="spellEnd"/>
      <w:r w:rsidRPr="00111B2C">
        <w:rPr>
          <w:rFonts w:eastAsia="Times New Roman"/>
        </w:rPr>
        <w:t xml:space="preserve">, Z., Chandler, J., Cheong, W., Davis, W., </w:t>
      </w:r>
      <w:proofErr w:type="spellStart"/>
      <w:r w:rsidRPr="00111B2C">
        <w:rPr>
          <w:rFonts w:eastAsia="Times New Roman"/>
        </w:rPr>
        <w:t>Devos</w:t>
      </w:r>
      <w:proofErr w:type="spellEnd"/>
      <w:r w:rsidRPr="00111B2C">
        <w:rPr>
          <w:rFonts w:eastAsia="Times New Roman"/>
        </w:rPr>
        <w:t xml:space="preserve">, T., Eisner, M., </w:t>
      </w:r>
      <w:proofErr w:type="spellStart"/>
      <w:r w:rsidRPr="00111B2C">
        <w:rPr>
          <w:rFonts w:eastAsia="Times New Roman"/>
        </w:rPr>
        <w:t>Frankowska</w:t>
      </w:r>
      <w:proofErr w:type="spellEnd"/>
      <w:r w:rsidRPr="00111B2C">
        <w:rPr>
          <w:rFonts w:eastAsia="Times New Roman"/>
        </w:rPr>
        <w:t xml:space="preserve">, N., Furrow, D., </w:t>
      </w:r>
      <w:proofErr w:type="spellStart"/>
      <w:r w:rsidRPr="00111B2C">
        <w:rPr>
          <w:rFonts w:eastAsia="Times New Roman"/>
        </w:rPr>
        <w:t>Galliani</w:t>
      </w:r>
      <w:proofErr w:type="spellEnd"/>
      <w:r w:rsidRPr="00111B2C">
        <w:rPr>
          <w:rFonts w:eastAsia="Times New Roman"/>
        </w:rPr>
        <w:t xml:space="preserve">, E., </w:t>
      </w:r>
      <w:proofErr w:type="spellStart"/>
      <w:r w:rsidRPr="00111B2C">
        <w:rPr>
          <w:rFonts w:eastAsia="Times New Roman"/>
        </w:rPr>
        <w:t>Hasselman</w:t>
      </w:r>
      <w:proofErr w:type="spellEnd"/>
      <w:r w:rsidRPr="00111B2C">
        <w:rPr>
          <w:rFonts w:eastAsia="Times New Roman"/>
        </w:rPr>
        <w:t xml:space="preserve">, F., Hicks, J., </w:t>
      </w:r>
      <w:proofErr w:type="spellStart"/>
      <w:r w:rsidRPr="00111B2C">
        <w:rPr>
          <w:rFonts w:eastAsia="Times New Roman"/>
        </w:rPr>
        <w:t>Hovermale</w:t>
      </w:r>
      <w:proofErr w:type="spellEnd"/>
      <w:r w:rsidRPr="00111B2C">
        <w:rPr>
          <w:rFonts w:eastAsia="Times New Roman"/>
        </w:rPr>
        <w:t xml:space="preserve">, J., Hunt, S. J., </w:t>
      </w:r>
      <w:proofErr w:type="spellStart"/>
      <w:r w:rsidRPr="00111B2C">
        <w:rPr>
          <w:rFonts w:eastAsia="Times New Roman"/>
        </w:rPr>
        <w:t>Huntsinger</w:t>
      </w:r>
      <w:proofErr w:type="spellEnd"/>
      <w:r w:rsidRPr="00111B2C">
        <w:rPr>
          <w:rFonts w:eastAsia="Times New Roman"/>
        </w:rPr>
        <w:t xml:space="preserve">, J., </w:t>
      </w:r>
      <w:proofErr w:type="spellStart"/>
      <w:r w:rsidRPr="00111B2C">
        <w:rPr>
          <w:rFonts w:eastAsia="Times New Roman"/>
        </w:rPr>
        <w:t>IJzerman</w:t>
      </w:r>
      <w:proofErr w:type="spellEnd"/>
      <w:r w:rsidRPr="00111B2C">
        <w:rPr>
          <w:rFonts w:eastAsia="Times New Roman"/>
        </w:rPr>
        <w:t xml:space="preserve">, H., John, M.-S., Joy-Gaba, J., </w:t>
      </w:r>
      <w:proofErr w:type="spellStart"/>
      <w:r w:rsidRPr="00111B2C">
        <w:rPr>
          <w:rFonts w:eastAsia="Times New Roman"/>
        </w:rPr>
        <w:t>Kappes</w:t>
      </w:r>
      <w:proofErr w:type="spellEnd"/>
      <w:r w:rsidRPr="00111B2C">
        <w:rPr>
          <w:rFonts w:eastAsia="Times New Roman"/>
        </w:rPr>
        <w:t xml:space="preserve">, H., Krueger, L., Kurtz, J., Levitan, C., </w:t>
      </w:r>
      <w:proofErr w:type="spellStart"/>
      <w:r w:rsidRPr="00111B2C">
        <w:rPr>
          <w:rFonts w:eastAsia="Times New Roman"/>
        </w:rPr>
        <w:t>Mallett</w:t>
      </w:r>
      <w:proofErr w:type="spellEnd"/>
      <w:r w:rsidRPr="00111B2C">
        <w:rPr>
          <w:rFonts w:eastAsia="Times New Roman"/>
        </w:rPr>
        <w:t xml:space="preserve">, R., Morris, W., Nelson, A., </w:t>
      </w:r>
      <w:proofErr w:type="spellStart"/>
      <w:r w:rsidRPr="00111B2C">
        <w:rPr>
          <w:rFonts w:eastAsia="Times New Roman"/>
        </w:rPr>
        <w:t>Nier</w:t>
      </w:r>
      <w:proofErr w:type="spellEnd"/>
      <w:r w:rsidRPr="00111B2C">
        <w:rPr>
          <w:rFonts w:eastAsia="Times New Roman"/>
        </w:rPr>
        <w:t xml:space="preserve">, J., Packard, G., </w:t>
      </w:r>
      <w:proofErr w:type="spellStart"/>
      <w:r w:rsidRPr="00111B2C">
        <w:rPr>
          <w:rFonts w:eastAsia="Times New Roman"/>
        </w:rPr>
        <w:t>Pilati</w:t>
      </w:r>
      <w:proofErr w:type="spellEnd"/>
      <w:r w:rsidRPr="00111B2C">
        <w:rPr>
          <w:rFonts w:eastAsia="Times New Roman"/>
        </w:rPr>
        <w:t xml:space="preserve">, R., </w:t>
      </w:r>
      <w:proofErr w:type="spellStart"/>
      <w:r w:rsidRPr="00111B2C">
        <w:rPr>
          <w:rFonts w:eastAsia="Times New Roman"/>
        </w:rPr>
        <w:t>Rutchick</w:t>
      </w:r>
      <w:proofErr w:type="spellEnd"/>
      <w:r w:rsidRPr="00111B2C">
        <w:rPr>
          <w:rFonts w:eastAsia="Times New Roman"/>
        </w:rPr>
        <w:t xml:space="preserve">, A., Schmidt, K., </w:t>
      </w:r>
      <w:proofErr w:type="spellStart"/>
      <w:r w:rsidRPr="00111B2C">
        <w:rPr>
          <w:rFonts w:eastAsia="Times New Roman"/>
        </w:rPr>
        <w:t>Skorinko</w:t>
      </w:r>
      <w:proofErr w:type="spellEnd"/>
      <w:r w:rsidRPr="00111B2C">
        <w:rPr>
          <w:rFonts w:eastAsia="Times New Roman"/>
        </w:rPr>
        <w:t xml:space="preserve">, J., Smith, R., Steiner, T., Storbeck, J., van </w:t>
      </w:r>
      <w:proofErr w:type="spellStart"/>
      <w:r w:rsidRPr="00111B2C">
        <w:rPr>
          <w:rFonts w:eastAsia="Times New Roman"/>
        </w:rPr>
        <w:t>Swol</w:t>
      </w:r>
      <w:proofErr w:type="spellEnd"/>
      <w:r w:rsidRPr="00111B2C">
        <w:rPr>
          <w:rFonts w:eastAsia="Times New Roman"/>
        </w:rPr>
        <w:t xml:space="preserve">, L., Thompson, D., van ‘t Veer, A., Vaughn, L., </w:t>
      </w:r>
      <w:proofErr w:type="spellStart"/>
      <w:r w:rsidRPr="00111B2C">
        <w:rPr>
          <w:rFonts w:eastAsia="Times New Roman"/>
        </w:rPr>
        <w:t>Vranka</w:t>
      </w:r>
      <w:proofErr w:type="spellEnd"/>
      <w:r w:rsidRPr="00111B2C">
        <w:rPr>
          <w:rFonts w:eastAsia="Times New Roman"/>
        </w:rPr>
        <w:t xml:space="preserve">, M., </w:t>
      </w:r>
      <w:proofErr w:type="spellStart"/>
      <w:r w:rsidRPr="00111B2C">
        <w:rPr>
          <w:rFonts w:eastAsia="Times New Roman"/>
        </w:rPr>
        <w:t>Wichman</w:t>
      </w:r>
      <w:proofErr w:type="spellEnd"/>
      <w:r w:rsidRPr="00111B2C">
        <w:rPr>
          <w:rFonts w:eastAsia="Times New Roman"/>
        </w:rPr>
        <w:t xml:space="preserve">, A., </w:t>
      </w:r>
      <w:proofErr w:type="spellStart"/>
      <w:r w:rsidRPr="00111B2C">
        <w:rPr>
          <w:rFonts w:eastAsia="Times New Roman"/>
        </w:rPr>
        <w:t>Woodzicka</w:t>
      </w:r>
      <w:proofErr w:type="spellEnd"/>
      <w:r w:rsidRPr="00111B2C">
        <w:rPr>
          <w:rFonts w:eastAsia="Times New Roman"/>
        </w:rPr>
        <w:t xml:space="preserve">, J., &amp; </w:t>
      </w:r>
      <w:proofErr w:type="spellStart"/>
      <w:r w:rsidRPr="00111B2C">
        <w:rPr>
          <w:rFonts w:eastAsia="Times New Roman"/>
        </w:rPr>
        <w:t>Nosek</w:t>
      </w:r>
      <w:proofErr w:type="spellEnd"/>
      <w:r w:rsidRPr="00111B2C">
        <w:rPr>
          <w:rFonts w:eastAsia="Times New Roman"/>
        </w:rPr>
        <w:t xml:space="preserve">, B. (2014). Investigating variation in replicability: A “Many Labs” replication project. </w:t>
      </w:r>
      <w:r w:rsidRPr="00111B2C">
        <w:rPr>
          <w:rFonts w:eastAsia="Times New Roman"/>
          <w:i/>
        </w:rPr>
        <w:t>Social Psychology</w:t>
      </w:r>
      <w:r w:rsidRPr="00111B2C">
        <w:rPr>
          <w:rFonts w:eastAsia="Times New Roman"/>
        </w:rPr>
        <w:t>, 45(3): 142-52.</w:t>
      </w:r>
    </w:p>
    <w:p w:rsidR="00111B2C" w:rsidRPr="00111B2C" w:rsidRDefault="00111B2C" w:rsidP="00111B2C">
      <w:pPr>
        <w:spacing w:line="480" w:lineRule="auto"/>
        <w:ind w:left="720" w:hanging="720"/>
        <w:rPr>
          <w:rFonts w:eastAsia="Times New Roman"/>
        </w:rPr>
      </w:pPr>
      <w:r w:rsidRPr="00111B2C">
        <w:rPr>
          <w:rFonts w:eastAsia="Times New Roman"/>
        </w:rPr>
        <w:t xml:space="preserve">Klein, R. A., </w:t>
      </w:r>
      <w:proofErr w:type="spellStart"/>
      <w:r w:rsidRPr="00111B2C">
        <w:rPr>
          <w:rFonts w:eastAsia="Times New Roman"/>
        </w:rPr>
        <w:t>Vianello</w:t>
      </w:r>
      <w:proofErr w:type="spellEnd"/>
      <w:r w:rsidRPr="00111B2C">
        <w:rPr>
          <w:rFonts w:eastAsia="Times New Roman"/>
        </w:rPr>
        <w:t xml:space="preserve">, M., </w:t>
      </w:r>
      <w:proofErr w:type="spellStart"/>
      <w:r w:rsidRPr="00111B2C">
        <w:rPr>
          <w:rFonts w:eastAsia="Times New Roman"/>
        </w:rPr>
        <w:t>Hasselman</w:t>
      </w:r>
      <w:proofErr w:type="spellEnd"/>
      <w:r w:rsidRPr="00111B2C">
        <w:rPr>
          <w:rFonts w:eastAsia="Times New Roman"/>
        </w:rPr>
        <w:t xml:space="preserve">, F., Adams, B. G., Adams, R. B., Jr., </w:t>
      </w:r>
      <w:proofErr w:type="spellStart"/>
      <w:r w:rsidRPr="00111B2C">
        <w:rPr>
          <w:rFonts w:eastAsia="Times New Roman"/>
        </w:rPr>
        <w:t>Alper</w:t>
      </w:r>
      <w:proofErr w:type="spellEnd"/>
      <w:r w:rsidRPr="00111B2C">
        <w:rPr>
          <w:rFonts w:eastAsia="Times New Roman"/>
        </w:rPr>
        <w:t xml:space="preserve">, S., Aveyard, M., </w:t>
      </w:r>
      <w:proofErr w:type="spellStart"/>
      <w:r w:rsidRPr="00111B2C">
        <w:rPr>
          <w:rFonts w:eastAsia="Times New Roman"/>
        </w:rPr>
        <w:t>Axt</w:t>
      </w:r>
      <w:proofErr w:type="spellEnd"/>
      <w:r w:rsidRPr="00111B2C">
        <w:rPr>
          <w:rFonts w:eastAsia="Times New Roman"/>
        </w:rPr>
        <w:t xml:space="preserve">, J., </w:t>
      </w:r>
      <w:proofErr w:type="spellStart"/>
      <w:r w:rsidRPr="00111B2C">
        <w:rPr>
          <w:rFonts w:eastAsia="Times New Roman"/>
        </w:rPr>
        <w:t>Bahník</w:t>
      </w:r>
      <w:proofErr w:type="spellEnd"/>
      <w:r w:rsidRPr="00111B2C">
        <w:rPr>
          <w:rFonts w:eastAsia="Times New Roman"/>
        </w:rPr>
        <w:t xml:space="preserve">, Š., </w:t>
      </w:r>
      <w:proofErr w:type="spellStart"/>
      <w:r w:rsidRPr="00111B2C">
        <w:rPr>
          <w:rFonts w:eastAsia="Times New Roman"/>
        </w:rPr>
        <w:t>Berkics</w:t>
      </w:r>
      <w:proofErr w:type="spellEnd"/>
      <w:r w:rsidRPr="00111B2C">
        <w:rPr>
          <w:rFonts w:eastAsia="Times New Roman"/>
        </w:rPr>
        <w:t xml:space="preserve">, M., Bernstein, M., </w:t>
      </w:r>
      <w:proofErr w:type="spellStart"/>
      <w:r w:rsidRPr="00111B2C">
        <w:rPr>
          <w:rFonts w:eastAsia="Times New Roman"/>
        </w:rPr>
        <w:t>Bialobrzeska</w:t>
      </w:r>
      <w:proofErr w:type="spellEnd"/>
      <w:r w:rsidRPr="00111B2C">
        <w:rPr>
          <w:rFonts w:eastAsia="Times New Roman"/>
        </w:rPr>
        <w:t xml:space="preserve">, O., </w:t>
      </w:r>
      <w:proofErr w:type="spellStart"/>
      <w:r w:rsidRPr="00111B2C">
        <w:rPr>
          <w:rFonts w:eastAsia="Times New Roman"/>
        </w:rPr>
        <w:t>Bocian</w:t>
      </w:r>
      <w:proofErr w:type="spellEnd"/>
      <w:r w:rsidRPr="00111B2C">
        <w:rPr>
          <w:rFonts w:eastAsia="Times New Roman"/>
        </w:rPr>
        <w:t xml:space="preserve">, K., Brandt, M., </w:t>
      </w:r>
      <w:proofErr w:type="spellStart"/>
      <w:r w:rsidRPr="00111B2C">
        <w:rPr>
          <w:rFonts w:eastAsia="Times New Roman"/>
        </w:rPr>
        <w:t>Cantarero</w:t>
      </w:r>
      <w:proofErr w:type="spellEnd"/>
      <w:r w:rsidRPr="00111B2C">
        <w:rPr>
          <w:rFonts w:eastAsia="Times New Roman"/>
        </w:rPr>
        <w:t xml:space="preserve">, K., </w:t>
      </w:r>
      <w:proofErr w:type="spellStart"/>
      <w:r w:rsidRPr="00111B2C">
        <w:rPr>
          <w:rFonts w:eastAsia="Times New Roman"/>
        </w:rPr>
        <w:t>Cemalcilar</w:t>
      </w:r>
      <w:proofErr w:type="spellEnd"/>
      <w:r w:rsidRPr="00111B2C">
        <w:rPr>
          <w:rFonts w:eastAsia="Times New Roman"/>
        </w:rPr>
        <w:t xml:space="preserve">, Z., Cicero, D., Chandler, J., </w:t>
      </w:r>
      <w:proofErr w:type="spellStart"/>
      <w:r w:rsidRPr="00111B2C">
        <w:rPr>
          <w:rFonts w:eastAsia="Times New Roman"/>
        </w:rPr>
        <w:t>Chatard</w:t>
      </w:r>
      <w:proofErr w:type="spellEnd"/>
      <w:r w:rsidRPr="00111B2C">
        <w:rPr>
          <w:rFonts w:eastAsia="Times New Roman"/>
        </w:rPr>
        <w:t xml:space="preserve">, A., Chen, E., Cheong, W., Coen, S., </w:t>
      </w:r>
      <w:proofErr w:type="spellStart"/>
      <w:r w:rsidRPr="00111B2C">
        <w:rPr>
          <w:rFonts w:eastAsia="Times New Roman"/>
        </w:rPr>
        <w:t>Collisson</w:t>
      </w:r>
      <w:proofErr w:type="spellEnd"/>
      <w:r w:rsidRPr="00111B2C">
        <w:rPr>
          <w:rFonts w:eastAsia="Times New Roman"/>
        </w:rPr>
        <w:t xml:space="preserve">, B., Conway, J., Corker, K., Curran, P., Cushman, F., </w:t>
      </w:r>
      <w:proofErr w:type="spellStart"/>
      <w:r w:rsidRPr="00111B2C">
        <w:rPr>
          <w:rFonts w:eastAsia="Times New Roman"/>
        </w:rPr>
        <w:t>Dalla</w:t>
      </w:r>
      <w:proofErr w:type="spellEnd"/>
      <w:r w:rsidRPr="00111B2C">
        <w:rPr>
          <w:rFonts w:eastAsia="Times New Roman"/>
        </w:rPr>
        <w:t xml:space="preserve"> Rose, A., Davis, W., </w:t>
      </w:r>
      <w:proofErr w:type="spellStart"/>
      <w:r w:rsidRPr="00111B2C">
        <w:rPr>
          <w:rFonts w:eastAsia="Times New Roman"/>
        </w:rPr>
        <w:t>Devos</w:t>
      </w:r>
      <w:proofErr w:type="spellEnd"/>
      <w:r w:rsidRPr="00111B2C">
        <w:rPr>
          <w:rFonts w:eastAsia="Times New Roman"/>
        </w:rPr>
        <w:t xml:space="preserve">, T., </w:t>
      </w:r>
      <w:proofErr w:type="spellStart"/>
      <w:r w:rsidRPr="00111B2C">
        <w:rPr>
          <w:rFonts w:eastAsia="Times New Roman"/>
        </w:rPr>
        <w:t>Dogulu</w:t>
      </w:r>
      <w:proofErr w:type="spellEnd"/>
      <w:r w:rsidRPr="00111B2C">
        <w:rPr>
          <w:rFonts w:eastAsia="Times New Roman"/>
        </w:rPr>
        <w:t xml:space="preserve">, C., Dunham, Y., Eller, A., </w:t>
      </w:r>
      <w:proofErr w:type="spellStart"/>
      <w:r w:rsidRPr="00111B2C">
        <w:rPr>
          <w:rFonts w:eastAsia="Times New Roman"/>
        </w:rPr>
        <w:t>Finck</w:t>
      </w:r>
      <w:proofErr w:type="spellEnd"/>
      <w:r w:rsidRPr="00111B2C">
        <w:rPr>
          <w:rFonts w:eastAsia="Times New Roman"/>
        </w:rPr>
        <w:t xml:space="preserve">, C., </w:t>
      </w:r>
      <w:r w:rsidRPr="00111B2C">
        <w:rPr>
          <w:rFonts w:eastAsia="Times New Roman"/>
        </w:rPr>
        <w:lastRenderedPageBreak/>
        <w:t xml:space="preserve">Friedman, M., </w:t>
      </w:r>
      <w:proofErr w:type="spellStart"/>
      <w:r w:rsidRPr="00111B2C">
        <w:rPr>
          <w:rFonts w:eastAsia="Times New Roman"/>
        </w:rPr>
        <w:t>Giessner</w:t>
      </w:r>
      <w:proofErr w:type="spellEnd"/>
      <w:r w:rsidRPr="00111B2C">
        <w:rPr>
          <w:rFonts w:eastAsia="Times New Roman"/>
        </w:rPr>
        <w:t xml:space="preserve">, S., </w:t>
      </w:r>
      <w:proofErr w:type="spellStart"/>
      <w:r w:rsidRPr="00111B2C">
        <w:rPr>
          <w:rFonts w:eastAsia="Times New Roman"/>
        </w:rPr>
        <w:t>Gnambs</w:t>
      </w:r>
      <w:proofErr w:type="spellEnd"/>
      <w:r w:rsidRPr="00111B2C">
        <w:rPr>
          <w:rFonts w:eastAsia="Times New Roman"/>
        </w:rPr>
        <w:t xml:space="preserve">, T., Gómez, Á., Graham, J., </w:t>
      </w:r>
      <w:proofErr w:type="spellStart"/>
      <w:r w:rsidRPr="00111B2C">
        <w:rPr>
          <w:rFonts w:eastAsia="Times New Roman"/>
        </w:rPr>
        <w:t>Grahe</w:t>
      </w:r>
      <w:proofErr w:type="spellEnd"/>
      <w:r w:rsidRPr="00111B2C">
        <w:rPr>
          <w:rFonts w:eastAsia="Times New Roman"/>
        </w:rPr>
        <w:t xml:space="preserve">, J., Green, E., Haigh, M., Haines, E., Heffernan, M., Hicks, J., </w:t>
      </w:r>
      <w:proofErr w:type="spellStart"/>
      <w:r w:rsidRPr="00111B2C">
        <w:rPr>
          <w:rFonts w:eastAsia="Times New Roman"/>
        </w:rPr>
        <w:t>Houdek</w:t>
      </w:r>
      <w:proofErr w:type="spellEnd"/>
      <w:r w:rsidRPr="00111B2C">
        <w:rPr>
          <w:rFonts w:eastAsia="Times New Roman"/>
        </w:rPr>
        <w:t xml:space="preserve">, P., </w:t>
      </w:r>
      <w:proofErr w:type="spellStart"/>
      <w:r w:rsidRPr="00111B2C">
        <w:rPr>
          <w:rFonts w:eastAsia="Times New Roman"/>
        </w:rPr>
        <w:t>Huntsinger</w:t>
      </w:r>
      <w:proofErr w:type="spellEnd"/>
      <w:r w:rsidRPr="00111B2C">
        <w:rPr>
          <w:rFonts w:eastAsia="Times New Roman"/>
        </w:rPr>
        <w:t xml:space="preserve">, J., </w:t>
      </w:r>
      <w:proofErr w:type="spellStart"/>
      <w:r w:rsidRPr="00111B2C">
        <w:rPr>
          <w:rFonts w:eastAsia="Times New Roman"/>
        </w:rPr>
        <w:t>IJzerman</w:t>
      </w:r>
      <w:proofErr w:type="spellEnd"/>
      <w:r w:rsidRPr="00111B2C">
        <w:rPr>
          <w:rFonts w:eastAsia="Times New Roman"/>
        </w:rPr>
        <w:t xml:space="preserve">, H., Inbar, Y., </w:t>
      </w:r>
      <w:proofErr w:type="spellStart"/>
      <w:r w:rsidRPr="00111B2C">
        <w:rPr>
          <w:rFonts w:eastAsia="Times New Roman"/>
        </w:rPr>
        <w:t>Kende</w:t>
      </w:r>
      <w:proofErr w:type="spellEnd"/>
      <w:r w:rsidRPr="00111B2C">
        <w:rPr>
          <w:rFonts w:eastAsia="Times New Roman"/>
        </w:rPr>
        <w:t xml:space="preserve">, A., Innes-Ker, Å., Jiménez-Leal, W., </w:t>
      </w:r>
      <w:proofErr w:type="spellStart"/>
      <w:r w:rsidRPr="00111B2C">
        <w:rPr>
          <w:rFonts w:eastAsia="Times New Roman"/>
        </w:rPr>
        <w:t>Kappes</w:t>
      </w:r>
      <w:proofErr w:type="spellEnd"/>
      <w:r w:rsidRPr="00111B2C">
        <w:rPr>
          <w:rFonts w:eastAsia="Times New Roman"/>
        </w:rPr>
        <w:t xml:space="preserve">, H., </w:t>
      </w:r>
      <w:proofErr w:type="spellStart"/>
      <w:r w:rsidRPr="00111B2C">
        <w:rPr>
          <w:rFonts w:eastAsia="Times New Roman"/>
        </w:rPr>
        <w:t>Karabati</w:t>
      </w:r>
      <w:proofErr w:type="spellEnd"/>
      <w:r w:rsidRPr="00111B2C">
        <w:rPr>
          <w:rFonts w:eastAsia="Times New Roman"/>
        </w:rPr>
        <w:t xml:space="preserve">, S., Keller, V., </w:t>
      </w:r>
      <w:proofErr w:type="spellStart"/>
      <w:r w:rsidRPr="00111B2C">
        <w:rPr>
          <w:rFonts w:eastAsia="Times New Roman"/>
        </w:rPr>
        <w:t>Kervyn</w:t>
      </w:r>
      <w:proofErr w:type="spellEnd"/>
      <w:r w:rsidRPr="00111B2C">
        <w:rPr>
          <w:rFonts w:eastAsia="Times New Roman"/>
        </w:rPr>
        <w:t xml:space="preserve">, N., Krueger, L., </w:t>
      </w:r>
      <w:proofErr w:type="spellStart"/>
      <w:r w:rsidRPr="00111B2C">
        <w:rPr>
          <w:rFonts w:eastAsia="Times New Roman"/>
        </w:rPr>
        <w:t>Lakens</w:t>
      </w:r>
      <w:proofErr w:type="spellEnd"/>
      <w:r w:rsidRPr="00111B2C">
        <w:rPr>
          <w:rFonts w:eastAsia="Times New Roman"/>
        </w:rPr>
        <w:t xml:space="preserve">, D., </w:t>
      </w:r>
      <w:proofErr w:type="spellStart"/>
      <w:r w:rsidRPr="00111B2C">
        <w:rPr>
          <w:rFonts w:eastAsia="Times New Roman"/>
        </w:rPr>
        <w:t>Lazarević</w:t>
      </w:r>
      <w:proofErr w:type="spellEnd"/>
      <w:r w:rsidRPr="00111B2C">
        <w:rPr>
          <w:rFonts w:eastAsia="Times New Roman"/>
        </w:rPr>
        <w:t xml:space="preserve">, L., Levitan, C., </w:t>
      </w:r>
      <w:proofErr w:type="spellStart"/>
      <w:r w:rsidRPr="00111B2C">
        <w:rPr>
          <w:rFonts w:eastAsia="Times New Roman"/>
        </w:rPr>
        <w:t>Lins</w:t>
      </w:r>
      <w:proofErr w:type="spellEnd"/>
      <w:r w:rsidRPr="00111B2C">
        <w:rPr>
          <w:rFonts w:eastAsia="Times New Roman"/>
        </w:rPr>
        <w:t xml:space="preserve">, S., John, M.-S., </w:t>
      </w:r>
      <w:proofErr w:type="spellStart"/>
      <w:r w:rsidRPr="00111B2C">
        <w:rPr>
          <w:rFonts w:eastAsia="Times New Roman"/>
        </w:rPr>
        <w:t>Mallett</w:t>
      </w:r>
      <w:proofErr w:type="spellEnd"/>
      <w:r w:rsidRPr="00111B2C">
        <w:rPr>
          <w:rFonts w:eastAsia="Times New Roman"/>
        </w:rPr>
        <w:t xml:space="preserve">, R., </w:t>
      </w:r>
      <w:proofErr w:type="spellStart"/>
      <w:r w:rsidRPr="00111B2C">
        <w:rPr>
          <w:rFonts w:eastAsia="Times New Roman"/>
        </w:rPr>
        <w:t>Milfont</w:t>
      </w:r>
      <w:proofErr w:type="spellEnd"/>
      <w:r w:rsidRPr="00111B2C">
        <w:rPr>
          <w:rFonts w:eastAsia="Times New Roman"/>
        </w:rPr>
        <w:t xml:space="preserve">, T., Morris, W., </w:t>
      </w:r>
      <w:proofErr w:type="spellStart"/>
      <w:r w:rsidRPr="00111B2C">
        <w:rPr>
          <w:rFonts w:eastAsia="Times New Roman"/>
        </w:rPr>
        <w:t>Myachykov</w:t>
      </w:r>
      <w:proofErr w:type="spellEnd"/>
      <w:r w:rsidRPr="00111B2C">
        <w:rPr>
          <w:rFonts w:eastAsia="Times New Roman"/>
        </w:rPr>
        <w:t xml:space="preserve">, A., Neave, N., Nichols, A., O’Donnell, S., </w:t>
      </w:r>
      <w:proofErr w:type="spellStart"/>
      <w:r w:rsidRPr="00111B2C">
        <w:rPr>
          <w:rFonts w:eastAsia="Times New Roman"/>
        </w:rPr>
        <w:t>Orosz</w:t>
      </w:r>
      <w:proofErr w:type="spellEnd"/>
      <w:r w:rsidRPr="00111B2C">
        <w:rPr>
          <w:rFonts w:eastAsia="Times New Roman"/>
        </w:rPr>
        <w:t xml:space="preserve">, G., Pérez-Sánchez, R., </w:t>
      </w:r>
      <w:proofErr w:type="spellStart"/>
      <w:r w:rsidRPr="00111B2C">
        <w:rPr>
          <w:rFonts w:eastAsia="Times New Roman"/>
        </w:rPr>
        <w:t>Petrovic</w:t>
      </w:r>
      <w:proofErr w:type="spellEnd"/>
      <w:r w:rsidRPr="00111B2C">
        <w:rPr>
          <w:rFonts w:eastAsia="Times New Roman"/>
        </w:rPr>
        <w:t xml:space="preserve">, B., </w:t>
      </w:r>
      <w:proofErr w:type="spellStart"/>
      <w:r w:rsidRPr="00111B2C">
        <w:rPr>
          <w:rFonts w:eastAsia="Times New Roman"/>
        </w:rPr>
        <w:t>Pilati</w:t>
      </w:r>
      <w:proofErr w:type="spellEnd"/>
      <w:r w:rsidRPr="00111B2C">
        <w:rPr>
          <w:rFonts w:eastAsia="Times New Roman"/>
        </w:rPr>
        <w:t xml:space="preserve">, R., </w:t>
      </w:r>
      <w:proofErr w:type="spellStart"/>
      <w:r w:rsidRPr="00111B2C">
        <w:rPr>
          <w:rFonts w:eastAsia="Times New Roman"/>
        </w:rPr>
        <w:t>Pollmann</w:t>
      </w:r>
      <w:proofErr w:type="spellEnd"/>
      <w:r w:rsidRPr="00111B2C">
        <w:rPr>
          <w:rFonts w:eastAsia="Times New Roman"/>
        </w:rPr>
        <w:t xml:space="preserve">, M., Salomon, E., Schmidt, K., </w:t>
      </w:r>
      <w:proofErr w:type="spellStart"/>
      <w:r w:rsidRPr="00111B2C">
        <w:rPr>
          <w:rFonts w:eastAsia="Times New Roman"/>
        </w:rPr>
        <w:t>Sekerdej</w:t>
      </w:r>
      <w:proofErr w:type="spellEnd"/>
      <w:r w:rsidRPr="00111B2C">
        <w:rPr>
          <w:rFonts w:eastAsia="Times New Roman"/>
        </w:rPr>
        <w:t xml:space="preserve">, M., Smith, M., Smith-Castro, V., </w:t>
      </w:r>
      <w:proofErr w:type="spellStart"/>
      <w:r w:rsidRPr="00111B2C">
        <w:rPr>
          <w:rFonts w:eastAsia="Times New Roman"/>
        </w:rPr>
        <w:t>Sobkow</w:t>
      </w:r>
      <w:proofErr w:type="spellEnd"/>
      <w:r w:rsidRPr="00111B2C">
        <w:rPr>
          <w:rFonts w:eastAsia="Times New Roman"/>
        </w:rPr>
        <w:t xml:space="preserve">, A., Stouten, J., Street, C., </w:t>
      </w:r>
      <w:proofErr w:type="spellStart"/>
      <w:r w:rsidRPr="00111B2C">
        <w:rPr>
          <w:rFonts w:eastAsia="Times New Roman"/>
        </w:rPr>
        <w:t>Traczyk</w:t>
      </w:r>
      <w:proofErr w:type="spellEnd"/>
      <w:r w:rsidRPr="00111B2C">
        <w:rPr>
          <w:rFonts w:eastAsia="Times New Roman"/>
        </w:rPr>
        <w:t xml:space="preserve">, J., Torres, D., Theriault, J., </w:t>
      </w:r>
      <w:proofErr w:type="spellStart"/>
      <w:r w:rsidRPr="00111B2C">
        <w:rPr>
          <w:rFonts w:eastAsia="Times New Roman"/>
        </w:rPr>
        <w:t>Ujhelyi</w:t>
      </w:r>
      <w:proofErr w:type="spellEnd"/>
      <w:r w:rsidRPr="00111B2C">
        <w:rPr>
          <w:rFonts w:eastAsia="Times New Roman"/>
        </w:rPr>
        <w:t xml:space="preserve">, A., van </w:t>
      </w:r>
      <w:proofErr w:type="spellStart"/>
      <w:r w:rsidRPr="00111B2C">
        <w:rPr>
          <w:rFonts w:eastAsia="Times New Roman"/>
        </w:rPr>
        <w:t>Aert</w:t>
      </w:r>
      <w:proofErr w:type="spellEnd"/>
      <w:r w:rsidRPr="00111B2C">
        <w:rPr>
          <w:rFonts w:eastAsia="Times New Roman"/>
        </w:rPr>
        <w:t xml:space="preserve">, R., van Assen, M., Vaughn, L., Vázquez, A., </w:t>
      </w:r>
      <w:proofErr w:type="spellStart"/>
      <w:r w:rsidRPr="00111B2C">
        <w:rPr>
          <w:rFonts w:eastAsia="Times New Roman"/>
        </w:rPr>
        <w:t>Verniers</w:t>
      </w:r>
      <w:proofErr w:type="spellEnd"/>
      <w:r w:rsidRPr="00111B2C">
        <w:rPr>
          <w:rFonts w:eastAsia="Times New Roman"/>
        </w:rPr>
        <w:t xml:space="preserve">, C., Verschoor, M., </w:t>
      </w:r>
      <w:proofErr w:type="spellStart"/>
      <w:r w:rsidRPr="00111B2C">
        <w:rPr>
          <w:rFonts w:eastAsia="Times New Roman"/>
        </w:rPr>
        <w:t>Vranka</w:t>
      </w:r>
      <w:proofErr w:type="spellEnd"/>
      <w:r w:rsidRPr="00111B2C">
        <w:rPr>
          <w:rFonts w:eastAsia="Times New Roman"/>
        </w:rPr>
        <w:t xml:space="preserve">, M., </w:t>
      </w:r>
      <w:proofErr w:type="spellStart"/>
      <w:r w:rsidRPr="00111B2C">
        <w:rPr>
          <w:rFonts w:eastAsia="Times New Roman"/>
        </w:rPr>
        <w:t>Wichman</w:t>
      </w:r>
      <w:proofErr w:type="spellEnd"/>
      <w:r w:rsidRPr="00111B2C">
        <w:rPr>
          <w:rFonts w:eastAsia="Times New Roman"/>
        </w:rPr>
        <w:t xml:space="preserve">, A., Williams, L., Young, L., </w:t>
      </w:r>
      <w:proofErr w:type="spellStart"/>
      <w:r w:rsidRPr="00111B2C">
        <w:rPr>
          <w:rFonts w:eastAsia="Times New Roman"/>
        </w:rPr>
        <w:t>Zelenski</w:t>
      </w:r>
      <w:proofErr w:type="spellEnd"/>
      <w:r w:rsidRPr="00111B2C">
        <w:rPr>
          <w:rFonts w:eastAsia="Times New Roman"/>
        </w:rPr>
        <w:t xml:space="preserve">, J., </w:t>
      </w:r>
      <w:proofErr w:type="spellStart"/>
      <w:r w:rsidRPr="00111B2C">
        <w:rPr>
          <w:rFonts w:eastAsia="Times New Roman"/>
        </w:rPr>
        <w:t>Nosek</w:t>
      </w:r>
      <w:proofErr w:type="spellEnd"/>
      <w:r w:rsidRPr="00111B2C">
        <w:rPr>
          <w:rFonts w:eastAsia="Times New Roman"/>
        </w:rPr>
        <w:t>, B. (2017). Many Labs 2: Investigating variation in replicability across sample and setting. </w:t>
      </w:r>
      <w:r w:rsidRPr="00111B2C">
        <w:rPr>
          <w:rFonts w:eastAsia="Times New Roman"/>
          <w:i/>
        </w:rPr>
        <w:t>Advances in Methods and Practices in Psychology Science</w:t>
      </w:r>
      <w:r w:rsidRPr="00111B2C">
        <w:rPr>
          <w:rFonts w:eastAsia="Times New Roman"/>
        </w:rPr>
        <w:t xml:space="preserve"> (RRR).</w:t>
      </w:r>
    </w:p>
    <w:p w:rsidR="00881391" w:rsidRPr="006479DF" w:rsidRDefault="00881391" w:rsidP="00AF7556">
      <w:pPr>
        <w:spacing w:line="480" w:lineRule="auto"/>
        <w:ind w:left="720" w:hanging="720"/>
      </w:pPr>
      <w:r w:rsidRPr="00881391">
        <w:rPr>
          <w:rFonts w:eastAsia="Times New Roman"/>
        </w:rPr>
        <w:t xml:space="preserve">Klein, S. B. (2014). What can recent replication failures tell us about the theoretical commitments of psychology? </w:t>
      </w:r>
      <w:r w:rsidRPr="00881391">
        <w:rPr>
          <w:rFonts w:eastAsia="Times New Roman"/>
          <w:i/>
        </w:rPr>
        <w:t>Theory &amp; Psychology</w:t>
      </w:r>
      <w:r w:rsidRPr="00881391">
        <w:rPr>
          <w:rFonts w:eastAsia="Times New Roman"/>
        </w:rPr>
        <w:t>, 24, 326–338.</w:t>
      </w:r>
    </w:p>
    <w:p w:rsidR="003D7CB8" w:rsidRPr="0069272E" w:rsidRDefault="003D7CB8" w:rsidP="00AF7556">
      <w:pPr>
        <w:spacing w:line="480" w:lineRule="auto"/>
        <w:ind w:left="720" w:hanging="720"/>
      </w:pPr>
      <w:r>
        <w:t xml:space="preserve">Miller, C. </w:t>
      </w:r>
      <w:r w:rsidR="0069272E">
        <w:t xml:space="preserve">(2013). </w:t>
      </w:r>
      <w:r w:rsidR="0069272E">
        <w:rPr>
          <w:i/>
        </w:rPr>
        <w:t>Moral Character: An Empirical Theory</w:t>
      </w:r>
      <w:r w:rsidR="0069272E">
        <w:t>. Oxford University Press.</w:t>
      </w:r>
    </w:p>
    <w:p w:rsidR="00F20080" w:rsidRDefault="00F20080" w:rsidP="00AF7556">
      <w:pPr>
        <w:spacing w:line="480" w:lineRule="auto"/>
        <w:ind w:left="720" w:hanging="720"/>
      </w:pPr>
      <w:proofErr w:type="spellStart"/>
      <w:r w:rsidRPr="00F20080">
        <w:t>Morawski</w:t>
      </w:r>
      <w:proofErr w:type="spellEnd"/>
      <w:r w:rsidRPr="00F20080">
        <w:t>, J. (2019). The replication crisis: How might philosophy and theory of psychology be of use? </w:t>
      </w:r>
      <w:r w:rsidRPr="00F20080">
        <w:rPr>
          <w:i/>
          <w:iCs/>
        </w:rPr>
        <w:t>Journal of Theoretical and Philosophical Psychology, 39</w:t>
      </w:r>
      <w:r w:rsidRPr="00F20080">
        <w:t>(4), 218–238.</w:t>
      </w:r>
    </w:p>
    <w:p w:rsidR="0086249B" w:rsidRPr="0086249B" w:rsidRDefault="0086249B" w:rsidP="00AF7556">
      <w:pPr>
        <w:spacing w:line="480" w:lineRule="auto"/>
        <w:ind w:left="720" w:hanging="720"/>
      </w:pPr>
      <w:r>
        <w:t xml:space="preserve">Paul, L. (2014). </w:t>
      </w:r>
      <w:r>
        <w:rPr>
          <w:i/>
        </w:rPr>
        <w:t>Transformative Experience</w:t>
      </w:r>
      <w:r>
        <w:t>. Oxford University Press.</w:t>
      </w:r>
    </w:p>
    <w:p w:rsidR="00AE0ADE" w:rsidRPr="00AE0ADE" w:rsidRDefault="00AE0ADE" w:rsidP="00AF7556">
      <w:pPr>
        <w:spacing w:line="480" w:lineRule="auto"/>
        <w:ind w:left="720" w:hanging="720"/>
      </w:pPr>
      <w:r>
        <w:t xml:space="preserve">Pettit, P. (2015). </w:t>
      </w:r>
      <w:r>
        <w:rPr>
          <w:i/>
        </w:rPr>
        <w:t>The Robust Demands of the Good: Ethics with Attachment, Virtue, and Respect</w:t>
      </w:r>
      <w:r>
        <w:t>. Oxford University Press.</w:t>
      </w:r>
    </w:p>
    <w:p w:rsidR="003D7CB8" w:rsidRDefault="003D7CB8" w:rsidP="00AF7556">
      <w:pPr>
        <w:spacing w:line="480" w:lineRule="auto"/>
        <w:ind w:left="720" w:hanging="720"/>
      </w:pPr>
      <w:r>
        <w:t xml:space="preserve">Russell, D. (2009). </w:t>
      </w:r>
      <w:r>
        <w:rPr>
          <w:i/>
        </w:rPr>
        <w:t>Practical Intelligence and the Virtues</w:t>
      </w:r>
      <w:r>
        <w:t>. Oxford University Press.</w:t>
      </w:r>
    </w:p>
    <w:p w:rsidR="000A7024" w:rsidRPr="000A7024" w:rsidRDefault="000A7024" w:rsidP="00AF7556">
      <w:pPr>
        <w:spacing w:line="480" w:lineRule="auto"/>
        <w:ind w:left="720" w:hanging="720"/>
      </w:pPr>
      <w:r>
        <w:lastRenderedPageBreak/>
        <w:t xml:space="preserve">Schaller, M. (2016). The empirical benefits of conceptual rigor: Systematic articulation of conceptual hypotheses can reduce the risk of non-replicable results (and facilitate novel discoveries too). </w:t>
      </w:r>
      <w:r>
        <w:rPr>
          <w:i/>
        </w:rPr>
        <w:t>Journal of Experimental Social Psychology</w:t>
      </w:r>
      <w:r>
        <w:t>, 66, 107-15.</w:t>
      </w:r>
    </w:p>
    <w:p w:rsidR="003D7CB8" w:rsidRDefault="003D7CB8" w:rsidP="00AF7556">
      <w:pPr>
        <w:spacing w:line="480" w:lineRule="auto"/>
        <w:ind w:left="720" w:hanging="720"/>
      </w:pPr>
      <w:r>
        <w:t xml:space="preserve">Snow, N. (2009). </w:t>
      </w:r>
      <w:r>
        <w:rPr>
          <w:i/>
        </w:rPr>
        <w:t>Virtue as Social Intelligence: An Empirically Grounded Theory</w:t>
      </w:r>
      <w:r>
        <w:t>.</w:t>
      </w:r>
    </w:p>
    <w:p w:rsidR="003A245A" w:rsidRDefault="003A245A" w:rsidP="00AF7556">
      <w:pPr>
        <w:spacing w:line="480" w:lineRule="auto"/>
        <w:ind w:left="720" w:hanging="720"/>
      </w:pPr>
      <w:proofErr w:type="spellStart"/>
      <w:r>
        <w:t>Stichter</w:t>
      </w:r>
      <w:proofErr w:type="spellEnd"/>
      <w:r>
        <w:t xml:space="preserve">, M. (2018). </w:t>
      </w:r>
      <w:r>
        <w:rPr>
          <w:i/>
        </w:rPr>
        <w:t>The Skillfulness of Virtue: Improving our Moral and Epistemic Lives</w:t>
      </w:r>
      <w:r>
        <w:t>. Cambridge University Press.</w:t>
      </w:r>
    </w:p>
    <w:p w:rsidR="00714BF4" w:rsidRPr="00714BF4" w:rsidRDefault="00714BF4" w:rsidP="00AF7556">
      <w:pPr>
        <w:spacing w:line="480" w:lineRule="auto"/>
        <w:ind w:left="720" w:hanging="720"/>
      </w:pPr>
      <w:proofErr w:type="spellStart"/>
      <w:r>
        <w:t>Tessman</w:t>
      </w:r>
      <w:proofErr w:type="spellEnd"/>
      <w:r>
        <w:t xml:space="preserve">, L. (2006). </w:t>
      </w:r>
      <w:r>
        <w:rPr>
          <w:i/>
        </w:rPr>
        <w:t xml:space="preserve">Burdened Virtues: Virtue Ethics for </w:t>
      </w:r>
      <w:proofErr w:type="spellStart"/>
      <w:r>
        <w:rPr>
          <w:i/>
        </w:rPr>
        <w:t>Liberatory</w:t>
      </w:r>
      <w:proofErr w:type="spellEnd"/>
      <w:r>
        <w:rPr>
          <w:i/>
        </w:rPr>
        <w:t xml:space="preserve"> Struggles</w:t>
      </w:r>
      <w:r>
        <w:t>. Oxford University Press.</w:t>
      </w:r>
    </w:p>
    <w:p w:rsidR="0069272E" w:rsidRDefault="0069272E" w:rsidP="00AF7556">
      <w:pPr>
        <w:spacing w:line="480" w:lineRule="auto"/>
        <w:ind w:left="720" w:hanging="720"/>
      </w:pPr>
      <w:r>
        <w:t xml:space="preserve">Upton, C. (2009) </w:t>
      </w:r>
      <w:r w:rsidRPr="0069272E">
        <w:rPr>
          <w:i/>
          <w:iCs/>
        </w:rPr>
        <w:t>Situational Traits of Character: Dispositional Foundations and Implications for Moral Psychology and Friendship</w:t>
      </w:r>
      <w:r>
        <w:t xml:space="preserve">. </w:t>
      </w:r>
      <w:r w:rsidRPr="0069272E">
        <w:t>Rowman &amp; Littlefield.</w:t>
      </w:r>
    </w:p>
    <w:p w:rsidR="0081495C" w:rsidRDefault="0081495C" w:rsidP="00AF7556">
      <w:pPr>
        <w:spacing w:line="480" w:lineRule="auto"/>
        <w:ind w:left="720" w:hanging="720"/>
      </w:pPr>
      <w:proofErr w:type="spellStart"/>
      <w:r>
        <w:t>Vess</w:t>
      </w:r>
      <w:proofErr w:type="spellEnd"/>
      <w:r>
        <w:t xml:space="preserve">, M., Brooker, R., </w:t>
      </w:r>
      <w:proofErr w:type="spellStart"/>
      <w:r>
        <w:t>Stichter</w:t>
      </w:r>
      <w:proofErr w:type="spellEnd"/>
      <w:r>
        <w:t xml:space="preserve">, M. &amp; </w:t>
      </w:r>
      <w:proofErr w:type="spellStart"/>
      <w:r>
        <w:t>Nederhiser</w:t>
      </w:r>
      <w:proofErr w:type="spellEnd"/>
      <w:r>
        <w:t xml:space="preserve">, J. (2019). Genes and virtue: Exploring how heritability beliefs shape conceptions of virtue and its development. </w:t>
      </w:r>
      <w:r>
        <w:rPr>
          <w:i/>
        </w:rPr>
        <w:t>Behavioral Genetics</w:t>
      </w:r>
      <w:r>
        <w:t>, 49(2): 168-74.</w:t>
      </w:r>
    </w:p>
    <w:p w:rsidR="00A80B86" w:rsidRPr="00A80B86" w:rsidRDefault="00A80B86" w:rsidP="00AF7556">
      <w:pPr>
        <w:spacing w:line="480" w:lineRule="auto"/>
        <w:ind w:left="720" w:hanging="720"/>
      </w:pPr>
      <w:r>
        <w:t xml:space="preserve">Whitaker, K. (1999). Editor. </w:t>
      </w:r>
      <w:r>
        <w:rPr>
          <w:i/>
        </w:rPr>
        <w:t xml:space="preserve">Empire and the Ends of Politics: Plato’s </w:t>
      </w:r>
      <w:proofErr w:type="spellStart"/>
      <w:r>
        <w:t>Menexenus</w:t>
      </w:r>
      <w:proofErr w:type="spellEnd"/>
      <w:r>
        <w:rPr>
          <w:i/>
        </w:rPr>
        <w:t xml:space="preserve"> and Pericles’ Funeral Oration</w:t>
      </w:r>
      <w:r>
        <w:t>. Translated by S. Collins &amp; D. Stauffer. Focus Press.</w:t>
      </w:r>
    </w:p>
    <w:p w:rsidR="00F20080" w:rsidRDefault="00F20080" w:rsidP="00AF7556">
      <w:pPr>
        <w:spacing w:line="480" w:lineRule="auto"/>
        <w:ind w:left="720" w:hanging="720"/>
      </w:pPr>
      <w:r w:rsidRPr="00F20080">
        <w:t xml:space="preserve">Wiggins, B. J., &amp; </w:t>
      </w:r>
      <w:proofErr w:type="spellStart"/>
      <w:r w:rsidRPr="00F20080">
        <w:t>Chrisopherson</w:t>
      </w:r>
      <w:proofErr w:type="spellEnd"/>
      <w:r w:rsidRPr="00F20080">
        <w:t>, C. D. (2019). The replication crisis in psychology: An overview for theoretical and philosophical psychology. </w:t>
      </w:r>
      <w:r w:rsidRPr="00F20080">
        <w:rPr>
          <w:i/>
          <w:iCs/>
        </w:rPr>
        <w:t>Journal of Theoretical and Philosophical Psychology, 39</w:t>
      </w:r>
      <w:r w:rsidRPr="00F20080">
        <w:t>(4), 202–217.</w:t>
      </w:r>
    </w:p>
    <w:p w:rsidR="0069272E" w:rsidRPr="0069272E" w:rsidRDefault="0069272E" w:rsidP="00AF7556">
      <w:pPr>
        <w:spacing w:line="480" w:lineRule="auto"/>
        <w:ind w:left="720" w:hanging="720"/>
      </w:pPr>
      <w:proofErr w:type="spellStart"/>
      <w:r>
        <w:t>Zagzebski</w:t>
      </w:r>
      <w:proofErr w:type="spellEnd"/>
      <w:r>
        <w:t xml:space="preserve">, L. (2017). </w:t>
      </w:r>
      <w:r>
        <w:rPr>
          <w:i/>
        </w:rPr>
        <w:t>Exemplarist Moral Theory</w:t>
      </w:r>
      <w:r>
        <w:t>. Oxford University Press.</w:t>
      </w:r>
    </w:p>
    <w:p w:rsidR="003D7CB8" w:rsidRPr="003D7CB8" w:rsidRDefault="003D7CB8" w:rsidP="00AF7556">
      <w:pPr>
        <w:spacing w:line="480" w:lineRule="auto"/>
        <w:ind w:left="720" w:hanging="720"/>
      </w:pPr>
    </w:p>
    <w:sectPr w:rsidR="003D7CB8" w:rsidRPr="003D7CB8" w:rsidSect="00B769F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F31" w:rsidRDefault="00DC2F31" w:rsidP="004C5017">
      <w:r>
        <w:separator/>
      </w:r>
    </w:p>
  </w:endnote>
  <w:endnote w:type="continuationSeparator" w:id="0">
    <w:p w:rsidR="00DC2F31" w:rsidRDefault="00DC2F31" w:rsidP="004C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9472428"/>
      <w:docPartObj>
        <w:docPartGallery w:val="Page Numbers (Bottom of Page)"/>
        <w:docPartUnique/>
      </w:docPartObj>
    </w:sdtPr>
    <w:sdtEndPr>
      <w:rPr>
        <w:rStyle w:val="PageNumber"/>
      </w:rPr>
    </w:sdtEndPr>
    <w:sdtContent>
      <w:p w:rsidR="004C5017" w:rsidRDefault="004C5017" w:rsidP="00C30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C5017" w:rsidRDefault="004C5017" w:rsidP="004C5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5853729"/>
      <w:docPartObj>
        <w:docPartGallery w:val="Page Numbers (Bottom of Page)"/>
        <w:docPartUnique/>
      </w:docPartObj>
    </w:sdtPr>
    <w:sdtEndPr>
      <w:rPr>
        <w:rStyle w:val="PageNumber"/>
      </w:rPr>
    </w:sdtEndPr>
    <w:sdtContent>
      <w:p w:rsidR="004C5017" w:rsidRDefault="004C5017" w:rsidP="00C30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C5017" w:rsidRDefault="004C5017" w:rsidP="004C50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F31" w:rsidRDefault="00DC2F31" w:rsidP="004C5017">
      <w:r>
        <w:separator/>
      </w:r>
    </w:p>
  </w:footnote>
  <w:footnote w:type="continuationSeparator" w:id="0">
    <w:p w:rsidR="00DC2F31" w:rsidRDefault="00DC2F31" w:rsidP="004C5017">
      <w:r>
        <w:continuationSeparator/>
      </w:r>
    </w:p>
  </w:footnote>
  <w:footnote w:id="1">
    <w:p w:rsidR="002E519F" w:rsidRPr="00691AC9" w:rsidRDefault="002E519F" w:rsidP="00691AC9">
      <w:pPr>
        <w:pStyle w:val="FootnoteText"/>
        <w:spacing w:line="480" w:lineRule="auto"/>
        <w:rPr>
          <w:sz w:val="24"/>
          <w:szCs w:val="24"/>
        </w:rPr>
      </w:pPr>
      <w:r w:rsidRPr="00691AC9">
        <w:rPr>
          <w:rStyle w:val="FootnoteReference"/>
          <w:sz w:val="24"/>
          <w:szCs w:val="24"/>
        </w:rPr>
        <w:footnoteRef/>
      </w:r>
      <w:r w:rsidRPr="00691AC9">
        <w:rPr>
          <w:sz w:val="24"/>
          <w:szCs w:val="24"/>
        </w:rPr>
        <w:t xml:space="preserve"> For monograph-length see, among others, Alfano (2013), </w:t>
      </w:r>
      <w:r w:rsidR="003D7CB8" w:rsidRPr="00691AC9">
        <w:rPr>
          <w:sz w:val="24"/>
          <w:szCs w:val="24"/>
        </w:rPr>
        <w:t>Doris (1998),</w:t>
      </w:r>
      <w:r w:rsidR="00727D43" w:rsidRPr="00691AC9">
        <w:rPr>
          <w:sz w:val="24"/>
          <w:szCs w:val="24"/>
        </w:rPr>
        <w:t xml:space="preserve"> Flanagan (1993),</w:t>
      </w:r>
      <w:r w:rsidR="003D7CB8" w:rsidRPr="00691AC9">
        <w:rPr>
          <w:sz w:val="24"/>
          <w:szCs w:val="24"/>
        </w:rPr>
        <w:t xml:space="preserve"> </w:t>
      </w:r>
      <w:r w:rsidRPr="00691AC9">
        <w:rPr>
          <w:sz w:val="24"/>
          <w:szCs w:val="24"/>
        </w:rPr>
        <w:t>Miller</w:t>
      </w:r>
      <w:r w:rsidR="0069272E" w:rsidRPr="00691AC9">
        <w:rPr>
          <w:sz w:val="24"/>
          <w:szCs w:val="24"/>
        </w:rPr>
        <w:t xml:space="preserve"> (</w:t>
      </w:r>
      <w:r w:rsidR="008059A2" w:rsidRPr="00691AC9">
        <w:rPr>
          <w:sz w:val="24"/>
          <w:szCs w:val="24"/>
        </w:rPr>
        <w:t>2013</w:t>
      </w:r>
      <w:r w:rsidR="0069272E" w:rsidRPr="00691AC9">
        <w:rPr>
          <w:sz w:val="24"/>
          <w:szCs w:val="24"/>
        </w:rPr>
        <w:t>)</w:t>
      </w:r>
      <w:r w:rsidRPr="00691AC9">
        <w:rPr>
          <w:sz w:val="24"/>
          <w:szCs w:val="24"/>
        </w:rPr>
        <w:t>, Russell</w:t>
      </w:r>
      <w:r w:rsidR="003D7CB8" w:rsidRPr="00691AC9">
        <w:rPr>
          <w:sz w:val="24"/>
          <w:szCs w:val="24"/>
        </w:rPr>
        <w:t xml:space="preserve"> (2009)</w:t>
      </w:r>
      <w:r w:rsidRPr="00691AC9">
        <w:rPr>
          <w:sz w:val="24"/>
          <w:szCs w:val="24"/>
        </w:rPr>
        <w:t>, Snow</w:t>
      </w:r>
      <w:r w:rsidR="0069272E" w:rsidRPr="00691AC9">
        <w:rPr>
          <w:sz w:val="24"/>
          <w:szCs w:val="24"/>
        </w:rPr>
        <w:t xml:space="preserve"> (2009), Upton (2009), </w:t>
      </w:r>
      <w:proofErr w:type="spellStart"/>
      <w:r w:rsidR="0069272E" w:rsidRPr="00691AC9">
        <w:rPr>
          <w:sz w:val="24"/>
          <w:szCs w:val="24"/>
        </w:rPr>
        <w:t>Zagzebski</w:t>
      </w:r>
      <w:proofErr w:type="spellEnd"/>
      <w:r w:rsidR="0069272E" w:rsidRPr="00691AC9">
        <w:rPr>
          <w:sz w:val="24"/>
          <w:szCs w:val="24"/>
        </w:rPr>
        <w:t xml:space="preserve"> (201</w:t>
      </w:r>
      <w:r w:rsidR="008059A2" w:rsidRPr="00691AC9">
        <w:rPr>
          <w:sz w:val="24"/>
          <w:szCs w:val="24"/>
        </w:rPr>
        <w:t>7</w:t>
      </w:r>
      <w:r w:rsidR="0069272E" w:rsidRPr="00691AC9">
        <w:rPr>
          <w:sz w:val="24"/>
          <w:szCs w:val="24"/>
        </w:rPr>
        <w:t>).</w:t>
      </w:r>
      <w:r w:rsidR="0081495C" w:rsidRPr="00691AC9">
        <w:rPr>
          <w:sz w:val="24"/>
          <w:szCs w:val="24"/>
        </w:rPr>
        <w:t xml:space="preserve"> It’s also worth noting that, of these, only Alfano (2013) and </w:t>
      </w:r>
      <w:proofErr w:type="spellStart"/>
      <w:r w:rsidR="0081495C" w:rsidRPr="00691AC9">
        <w:rPr>
          <w:sz w:val="24"/>
          <w:szCs w:val="24"/>
        </w:rPr>
        <w:t>Zagzebski</w:t>
      </w:r>
      <w:proofErr w:type="spellEnd"/>
      <w:r w:rsidR="0081495C" w:rsidRPr="00691AC9">
        <w:rPr>
          <w:sz w:val="24"/>
          <w:szCs w:val="24"/>
        </w:rPr>
        <w:t xml:space="preserve"> (2017) address both moral and epistemic virtue, as </w:t>
      </w:r>
      <w:proofErr w:type="spellStart"/>
      <w:r w:rsidR="0081495C" w:rsidRPr="00691AC9">
        <w:rPr>
          <w:sz w:val="24"/>
          <w:szCs w:val="24"/>
        </w:rPr>
        <w:t>Stichter</w:t>
      </w:r>
      <w:proofErr w:type="spellEnd"/>
      <w:r w:rsidR="0081495C" w:rsidRPr="00691AC9">
        <w:rPr>
          <w:sz w:val="24"/>
          <w:szCs w:val="24"/>
        </w:rPr>
        <w:t xml:space="preserve"> does.</w:t>
      </w:r>
    </w:p>
  </w:footnote>
  <w:footnote w:id="2">
    <w:p w:rsidR="00A80B86" w:rsidRPr="00691AC9" w:rsidRDefault="00A80B86" w:rsidP="00691AC9">
      <w:pPr>
        <w:spacing w:line="480" w:lineRule="auto"/>
        <w:rPr>
          <w:rFonts w:eastAsia="Times New Roman"/>
        </w:rPr>
      </w:pPr>
      <w:r w:rsidRPr="00691AC9">
        <w:rPr>
          <w:rStyle w:val="FootnoteReference"/>
        </w:rPr>
        <w:footnoteRef/>
      </w:r>
      <w:r w:rsidRPr="00691AC9">
        <w:t xml:space="preserve"> See, for example, </w:t>
      </w:r>
      <w:hyperlink r:id="rId1" w:history="1">
        <w:r w:rsidRPr="00691AC9">
          <w:rPr>
            <w:rFonts w:eastAsia="Times New Roman"/>
            <w:color w:val="0000FF"/>
            <w:u w:val="single"/>
          </w:rPr>
          <w:t>https://www.latimes.com/nation/la-na-utah-gun-training-for-teachers-20190707-story.html</w:t>
        </w:r>
      </w:hyperlink>
      <w:r w:rsidRPr="00691AC9">
        <w:rPr>
          <w:rFonts w:eastAsia="Times New Roman"/>
        </w:rPr>
        <w:t>.</w:t>
      </w:r>
    </w:p>
  </w:footnote>
  <w:footnote w:id="3">
    <w:p w:rsidR="00E75A6E" w:rsidRPr="00691AC9" w:rsidRDefault="00E75A6E" w:rsidP="00691AC9">
      <w:pPr>
        <w:pStyle w:val="FootnoteText"/>
        <w:spacing w:line="480" w:lineRule="auto"/>
        <w:rPr>
          <w:sz w:val="24"/>
          <w:szCs w:val="24"/>
        </w:rPr>
      </w:pPr>
      <w:r w:rsidRPr="00691AC9">
        <w:rPr>
          <w:rStyle w:val="FootnoteReference"/>
          <w:sz w:val="24"/>
          <w:szCs w:val="24"/>
        </w:rPr>
        <w:footnoteRef/>
      </w:r>
      <w:r w:rsidRPr="00691AC9">
        <w:rPr>
          <w:sz w:val="24"/>
          <w:szCs w:val="24"/>
        </w:rPr>
        <w:t xml:space="preserve"> One might object that, in certain traditions, such as Christian philosophy, curiosity is seen as a vice. This is certainly true of Augustine and Aquinas, but even they recognized a cognate virtue of love of knowledge. Thanks to an anonymous reviewer for raising this point.</w:t>
      </w:r>
    </w:p>
  </w:footnote>
  <w:footnote w:id="4">
    <w:p w:rsidR="00714BF4" w:rsidRPr="00691AC9" w:rsidRDefault="00714BF4" w:rsidP="00691AC9">
      <w:pPr>
        <w:pStyle w:val="FootnoteText"/>
        <w:spacing w:line="480" w:lineRule="auto"/>
        <w:rPr>
          <w:sz w:val="24"/>
          <w:szCs w:val="24"/>
        </w:rPr>
      </w:pPr>
      <w:r w:rsidRPr="00691AC9">
        <w:rPr>
          <w:rStyle w:val="FootnoteReference"/>
          <w:sz w:val="24"/>
          <w:szCs w:val="24"/>
        </w:rPr>
        <w:footnoteRef/>
      </w:r>
      <w:r w:rsidRPr="00691AC9">
        <w:rPr>
          <w:sz w:val="24"/>
          <w:szCs w:val="24"/>
        </w:rPr>
        <w:t xml:space="preserve"> For a related concern about the damage people may sustain by embodying virtues in deeply morally flawed communities, see </w:t>
      </w:r>
      <w:proofErr w:type="spellStart"/>
      <w:r w:rsidRPr="00691AC9">
        <w:rPr>
          <w:sz w:val="24"/>
          <w:szCs w:val="24"/>
        </w:rPr>
        <w:t>Tessman</w:t>
      </w:r>
      <w:proofErr w:type="spellEnd"/>
      <w:r w:rsidRPr="00691AC9">
        <w:rPr>
          <w:sz w:val="24"/>
          <w:szCs w:val="24"/>
        </w:rPr>
        <w:t xml:space="preserve"> (2006).</w:t>
      </w:r>
    </w:p>
  </w:footnote>
  <w:footnote w:id="5">
    <w:p w:rsidR="00AB1898" w:rsidRPr="00691AC9" w:rsidRDefault="00AB1898" w:rsidP="00691AC9">
      <w:pPr>
        <w:spacing w:line="480" w:lineRule="auto"/>
        <w:rPr>
          <w:rFonts w:eastAsia="Times New Roman"/>
        </w:rPr>
      </w:pPr>
      <w:r w:rsidRPr="00691AC9">
        <w:rPr>
          <w:rStyle w:val="FootnoteReference"/>
        </w:rPr>
        <w:footnoteRef/>
      </w:r>
      <w:r w:rsidRPr="00691AC9">
        <w:t xml:space="preserve"> See </w:t>
      </w:r>
      <w:hyperlink r:id="rId2" w:history="1">
        <w:r w:rsidRPr="00691AC9">
          <w:rPr>
            <w:rFonts w:eastAsia="Times New Roman"/>
            <w:color w:val="0000FF"/>
            <w:u w:val="single"/>
          </w:rPr>
          <w:t>https://www.businessinsider.nl/theranos-founder-ceo-elizabeth-holmes-life-story-bio-2018-4?international=true&amp;r=US</w:t>
        </w:r>
      </w:hyperlink>
      <w:r w:rsidRPr="00691AC9">
        <w:rPr>
          <w:rFonts w:eastAsia="Times New Roman"/>
        </w:rPr>
        <w:t xml:space="preserve"> for context.</w:t>
      </w:r>
    </w:p>
  </w:footnote>
  <w:footnote w:id="6">
    <w:p w:rsidR="00602332" w:rsidRPr="00691AC9" w:rsidRDefault="00602332" w:rsidP="00691AC9">
      <w:pPr>
        <w:pStyle w:val="FootnoteText"/>
        <w:spacing w:line="480" w:lineRule="auto"/>
        <w:rPr>
          <w:sz w:val="24"/>
          <w:szCs w:val="24"/>
        </w:rPr>
      </w:pPr>
      <w:r w:rsidRPr="00691AC9">
        <w:rPr>
          <w:rStyle w:val="FootnoteReference"/>
          <w:sz w:val="24"/>
          <w:szCs w:val="24"/>
        </w:rPr>
        <w:footnoteRef/>
      </w:r>
      <w:r w:rsidRPr="00691AC9">
        <w:rPr>
          <w:sz w:val="24"/>
          <w:szCs w:val="24"/>
        </w:rPr>
        <w:t xml:space="preserve"> One might object that there is no satisficing when it comes to virtue, but that would be a controversial position according to which there is precisely one </w:t>
      </w:r>
      <w:r w:rsidR="00691AC9" w:rsidRPr="00691AC9">
        <w:rPr>
          <w:sz w:val="24"/>
          <w:szCs w:val="24"/>
        </w:rPr>
        <w:t xml:space="preserve">set of moral and epistemic traits that everyone ought to cultivate. </w:t>
      </w:r>
      <w:proofErr w:type="spellStart"/>
      <w:r w:rsidR="00691AC9" w:rsidRPr="00691AC9">
        <w:rPr>
          <w:sz w:val="24"/>
          <w:szCs w:val="24"/>
        </w:rPr>
        <w:t>Stichter</w:t>
      </w:r>
      <w:proofErr w:type="spellEnd"/>
      <w:r w:rsidR="00691AC9" w:rsidRPr="00691AC9">
        <w:rPr>
          <w:sz w:val="24"/>
          <w:szCs w:val="24"/>
        </w:rPr>
        <w:t xml:space="preserve"> allows for more diversity, which seems both more modest and more plausible.</w:t>
      </w:r>
      <w:r w:rsidR="00691AC9">
        <w:rPr>
          <w:sz w:val="24"/>
          <w:szCs w:val="24"/>
        </w:rPr>
        <w:t xml:space="preserve"> Thanks to an anonymous reviewer for raising this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24947"/>
    <w:multiLevelType w:val="hybridMultilevel"/>
    <w:tmpl w:val="639A8322"/>
    <w:lvl w:ilvl="0" w:tplc="FE72107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E5283"/>
    <w:multiLevelType w:val="hybridMultilevel"/>
    <w:tmpl w:val="EBEA2A46"/>
    <w:lvl w:ilvl="0" w:tplc="B41E8E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17"/>
    <w:rsid w:val="00047D68"/>
    <w:rsid w:val="000501EC"/>
    <w:rsid w:val="000A7024"/>
    <w:rsid w:val="000B3DE9"/>
    <w:rsid w:val="000B7FD8"/>
    <w:rsid w:val="000C0D8E"/>
    <w:rsid w:val="000E6DFB"/>
    <w:rsid w:val="00100463"/>
    <w:rsid w:val="00110832"/>
    <w:rsid w:val="00111B2C"/>
    <w:rsid w:val="00130772"/>
    <w:rsid w:val="0013406A"/>
    <w:rsid w:val="001578B1"/>
    <w:rsid w:val="00157A1D"/>
    <w:rsid w:val="001C3628"/>
    <w:rsid w:val="00224158"/>
    <w:rsid w:val="00240671"/>
    <w:rsid w:val="00241D2B"/>
    <w:rsid w:val="002422EB"/>
    <w:rsid w:val="00260507"/>
    <w:rsid w:val="00282DF2"/>
    <w:rsid w:val="002B5B06"/>
    <w:rsid w:val="002D426C"/>
    <w:rsid w:val="002E4C87"/>
    <w:rsid w:val="002E519F"/>
    <w:rsid w:val="003103E3"/>
    <w:rsid w:val="00320862"/>
    <w:rsid w:val="00324ED1"/>
    <w:rsid w:val="00346FF3"/>
    <w:rsid w:val="00354096"/>
    <w:rsid w:val="003A245A"/>
    <w:rsid w:val="003B0125"/>
    <w:rsid w:val="003B5B67"/>
    <w:rsid w:val="003D7CB8"/>
    <w:rsid w:val="00403E2A"/>
    <w:rsid w:val="0044757C"/>
    <w:rsid w:val="00483A9C"/>
    <w:rsid w:val="004C5017"/>
    <w:rsid w:val="004E3043"/>
    <w:rsid w:val="00566858"/>
    <w:rsid w:val="005F0291"/>
    <w:rsid w:val="005F1452"/>
    <w:rsid w:val="005F28AE"/>
    <w:rsid w:val="00602332"/>
    <w:rsid w:val="006162AD"/>
    <w:rsid w:val="0062267A"/>
    <w:rsid w:val="00632B15"/>
    <w:rsid w:val="006570E8"/>
    <w:rsid w:val="00662C9B"/>
    <w:rsid w:val="00674C1B"/>
    <w:rsid w:val="006872C4"/>
    <w:rsid w:val="00691143"/>
    <w:rsid w:val="00691AC9"/>
    <w:rsid w:val="0069272E"/>
    <w:rsid w:val="006C2219"/>
    <w:rsid w:val="006D7F68"/>
    <w:rsid w:val="00701CF6"/>
    <w:rsid w:val="00703C5A"/>
    <w:rsid w:val="00714BF4"/>
    <w:rsid w:val="00727D43"/>
    <w:rsid w:val="00764BB2"/>
    <w:rsid w:val="007A34BE"/>
    <w:rsid w:val="007D249D"/>
    <w:rsid w:val="008059A2"/>
    <w:rsid w:val="0081495C"/>
    <w:rsid w:val="0086249B"/>
    <w:rsid w:val="00881391"/>
    <w:rsid w:val="008851FF"/>
    <w:rsid w:val="008B5818"/>
    <w:rsid w:val="009021BA"/>
    <w:rsid w:val="009146DD"/>
    <w:rsid w:val="009746CF"/>
    <w:rsid w:val="0098449A"/>
    <w:rsid w:val="00987E81"/>
    <w:rsid w:val="00A64C4C"/>
    <w:rsid w:val="00A80B86"/>
    <w:rsid w:val="00AA2913"/>
    <w:rsid w:val="00AB1898"/>
    <w:rsid w:val="00AE0ADE"/>
    <w:rsid w:val="00AF7556"/>
    <w:rsid w:val="00B11943"/>
    <w:rsid w:val="00B6659D"/>
    <w:rsid w:val="00B6700D"/>
    <w:rsid w:val="00B769F6"/>
    <w:rsid w:val="00BB357C"/>
    <w:rsid w:val="00BD4C67"/>
    <w:rsid w:val="00C32F6C"/>
    <w:rsid w:val="00CA731D"/>
    <w:rsid w:val="00CD4925"/>
    <w:rsid w:val="00D2541E"/>
    <w:rsid w:val="00D61763"/>
    <w:rsid w:val="00DA60FF"/>
    <w:rsid w:val="00DC2F31"/>
    <w:rsid w:val="00DD4320"/>
    <w:rsid w:val="00DE646F"/>
    <w:rsid w:val="00E07DA9"/>
    <w:rsid w:val="00E10AA9"/>
    <w:rsid w:val="00E75A6E"/>
    <w:rsid w:val="00E92879"/>
    <w:rsid w:val="00E97CA7"/>
    <w:rsid w:val="00EB7E85"/>
    <w:rsid w:val="00F20080"/>
    <w:rsid w:val="00F80D50"/>
    <w:rsid w:val="00F91DA5"/>
    <w:rsid w:val="00F97CA9"/>
    <w:rsid w:val="00FE419F"/>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9135"/>
  <w14:defaultImageDpi w14:val="32767"/>
  <w15:chartTrackingRefBased/>
  <w15:docId w15:val="{D5B0E96A-2398-8B49-B1C2-2630CA49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017"/>
    <w:pPr>
      <w:tabs>
        <w:tab w:val="center" w:pos="4680"/>
        <w:tab w:val="right" w:pos="9360"/>
      </w:tabs>
    </w:pPr>
  </w:style>
  <w:style w:type="character" w:customStyle="1" w:styleId="FooterChar">
    <w:name w:val="Footer Char"/>
    <w:basedOn w:val="DefaultParagraphFont"/>
    <w:link w:val="Footer"/>
    <w:uiPriority w:val="99"/>
    <w:rsid w:val="004C5017"/>
  </w:style>
  <w:style w:type="character" w:styleId="PageNumber">
    <w:name w:val="page number"/>
    <w:basedOn w:val="DefaultParagraphFont"/>
    <w:uiPriority w:val="99"/>
    <w:semiHidden/>
    <w:unhideWhenUsed/>
    <w:rsid w:val="004C5017"/>
  </w:style>
  <w:style w:type="paragraph" w:styleId="ListParagraph">
    <w:name w:val="List Paragraph"/>
    <w:basedOn w:val="Normal"/>
    <w:uiPriority w:val="34"/>
    <w:qFormat/>
    <w:rsid w:val="004C5017"/>
    <w:pPr>
      <w:ind w:left="720"/>
      <w:contextualSpacing/>
    </w:pPr>
  </w:style>
  <w:style w:type="paragraph" w:styleId="FootnoteText">
    <w:name w:val="footnote text"/>
    <w:basedOn w:val="Normal"/>
    <w:link w:val="FootnoteTextChar"/>
    <w:uiPriority w:val="99"/>
    <w:semiHidden/>
    <w:unhideWhenUsed/>
    <w:rsid w:val="002E519F"/>
    <w:rPr>
      <w:sz w:val="20"/>
      <w:szCs w:val="20"/>
    </w:rPr>
  </w:style>
  <w:style w:type="character" w:customStyle="1" w:styleId="FootnoteTextChar">
    <w:name w:val="Footnote Text Char"/>
    <w:basedOn w:val="DefaultParagraphFont"/>
    <w:link w:val="FootnoteText"/>
    <w:uiPriority w:val="99"/>
    <w:semiHidden/>
    <w:rsid w:val="002E519F"/>
    <w:rPr>
      <w:sz w:val="20"/>
      <w:szCs w:val="20"/>
    </w:rPr>
  </w:style>
  <w:style w:type="character" w:styleId="FootnoteReference">
    <w:name w:val="footnote reference"/>
    <w:basedOn w:val="DefaultParagraphFont"/>
    <w:uiPriority w:val="99"/>
    <w:semiHidden/>
    <w:unhideWhenUsed/>
    <w:rsid w:val="002E519F"/>
    <w:rPr>
      <w:vertAlign w:val="superscript"/>
    </w:rPr>
  </w:style>
  <w:style w:type="character" w:styleId="Hyperlink">
    <w:name w:val="Hyperlink"/>
    <w:basedOn w:val="DefaultParagraphFont"/>
    <w:uiPriority w:val="99"/>
    <w:semiHidden/>
    <w:unhideWhenUsed/>
    <w:rsid w:val="00A80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2826">
      <w:bodyDiv w:val="1"/>
      <w:marLeft w:val="0"/>
      <w:marRight w:val="0"/>
      <w:marTop w:val="0"/>
      <w:marBottom w:val="0"/>
      <w:divBdr>
        <w:top w:val="none" w:sz="0" w:space="0" w:color="auto"/>
        <w:left w:val="none" w:sz="0" w:space="0" w:color="auto"/>
        <w:bottom w:val="none" w:sz="0" w:space="0" w:color="auto"/>
        <w:right w:val="none" w:sz="0" w:space="0" w:color="auto"/>
      </w:divBdr>
    </w:div>
    <w:div w:id="579950310">
      <w:bodyDiv w:val="1"/>
      <w:marLeft w:val="0"/>
      <w:marRight w:val="0"/>
      <w:marTop w:val="0"/>
      <w:marBottom w:val="0"/>
      <w:divBdr>
        <w:top w:val="none" w:sz="0" w:space="0" w:color="auto"/>
        <w:left w:val="none" w:sz="0" w:space="0" w:color="auto"/>
        <w:bottom w:val="none" w:sz="0" w:space="0" w:color="auto"/>
        <w:right w:val="none" w:sz="0" w:space="0" w:color="auto"/>
      </w:divBdr>
    </w:div>
    <w:div w:id="907304482">
      <w:bodyDiv w:val="1"/>
      <w:marLeft w:val="0"/>
      <w:marRight w:val="0"/>
      <w:marTop w:val="0"/>
      <w:marBottom w:val="0"/>
      <w:divBdr>
        <w:top w:val="none" w:sz="0" w:space="0" w:color="auto"/>
        <w:left w:val="none" w:sz="0" w:space="0" w:color="auto"/>
        <w:bottom w:val="none" w:sz="0" w:space="0" w:color="auto"/>
        <w:right w:val="none" w:sz="0" w:space="0" w:color="auto"/>
      </w:divBdr>
    </w:div>
    <w:div w:id="958609949">
      <w:bodyDiv w:val="1"/>
      <w:marLeft w:val="0"/>
      <w:marRight w:val="0"/>
      <w:marTop w:val="0"/>
      <w:marBottom w:val="0"/>
      <w:divBdr>
        <w:top w:val="none" w:sz="0" w:space="0" w:color="auto"/>
        <w:left w:val="none" w:sz="0" w:space="0" w:color="auto"/>
        <w:bottom w:val="none" w:sz="0" w:space="0" w:color="auto"/>
        <w:right w:val="none" w:sz="0" w:space="0" w:color="auto"/>
      </w:divBdr>
    </w:div>
    <w:div w:id="1302341808">
      <w:bodyDiv w:val="1"/>
      <w:marLeft w:val="0"/>
      <w:marRight w:val="0"/>
      <w:marTop w:val="0"/>
      <w:marBottom w:val="0"/>
      <w:divBdr>
        <w:top w:val="none" w:sz="0" w:space="0" w:color="auto"/>
        <w:left w:val="none" w:sz="0" w:space="0" w:color="auto"/>
        <w:bottom w:val="none" w:sz="0" w:space="0" w:color="auto"/>
        <w:right w:val="none" w:sz="0" w:space="0" w:color="auto"/>
      </w:divBdr>
    </w:div>
    <w:div w:id="1622493261">
      <w:bodyDiv w:val="1"/>
      <w:marLeft w:val="0"/>
      <w:marRight w:val="0"/>
      <w:marTop w:val="0"/>
      <w:marBottom w:val="0"/>
      <w:divBdr>
        <w:top w:val="none" w:sz="0" w:space="0" w:color="auto"/>
        <w:left w:val="none" w:sz="0" w:space="0" w:color="auto"/>
        <w:bottom w:val="none" w:sz="0" w:space="0" w:color="auto"/>
        <w:right w:val="none" w:sz="0" w:space="0" w:color="auto"/>
      </w:divBdr>
    </w:div>
    <w:div w:id="1854759891">
      <w:bodyDiv w:val="1"/>
      <w:marLeft w:val="0"/>
      <w:marRight w:val="0"/>
      <w:marTop w:val="0"/>
      <w:marBottom w:val="0"/>
      <w:divBdr>
        <w:top w:val="none" w:sz="0" w:space="0" w:color="auto"/>
        <w:left w:val="none" w:sz="0" w:space="0" w:color="auto"/>
        <w:bottom w:val="none" w:sz="0" w:space="0" w:color="auto"/>
        <w:right w:val="none" w:sz="0" w:space="0" w:color="auto"/>
      </w:divBdr>
    </w:div>
    <w:div w:id="1995138003">
      <w:bodyDiv w:val="1"/>
      <w:marLeft w:val="0"/>
      <w:marRight w:val="0"/>
      <w:marTop w:val="0"/>
      <w:marBottom w:val="0"/>
      <w:divBdr>
        <w:top w:val="none" w:sz="0" w:space="0" w:color="auto"/>
        <w:left w:val="none" w:sz="0" w:space="0" w:color="auto"/>
        <w:bottom w:val="none" w:sz="0" w:space="0" w:color="auto"/>
        <w:right w:val="none" w:sz="0" w:space="0" w:color="auto"/>
      </w:divBdr>
    </w:div>
    <w:div w:id="2011055388">
      <w:bodyDiv w:val="1"/>
      <w:marLeft w:val="0"/>
      <w:marRight w:val="0"/>
      <w:marTop w:val="0"/>
      <w:marBottom w:val="0"/>
      <w:divBdr>
        <w:top w:val="none" w:sz="0" w:space="0" w:color="auto"/>
        <w:left w:val="none" w:sz="0" w:space="0" w:color="auto"/>
        <w:bottom w:val="none" w:sz="0" w:space="0" w:color="auto"/>
        <w:right w:val="none" w:sz="0" w:space="0" w:color="auto"/>
      </w:divBdr>
    </w:div>
    <w:div w:id="21402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usinessinsider.nl/theranos-founder-ceo-elizabeth-holmes-life-story-bio-2018-4?international=true&amp;r=US" TargetMode="External"/><Relationship Id="rId1" Type="http://schemas.openxmlformats.org/officeDocument/2006/relationships/hyperlink" Target="https://www.latimes.com/nation/la-na-utah-gun-training-for-teachers-20190707-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13</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Alfano</dc:creator>
  <cp:keywords/>
  <dc:description/>
  <cp:lastModifiedBy>Mark Alfano</cp:lastModifiedBy>
  <cp:revision>75</cp:revision>
  <dcterms:created xsi:type="dcterms:W3CDTF">2019-03-27T21:31:00Z</dcterms:created>
  <dcterms:modified xsi:type="dcterms:W3CDTF">2020-07-11T16:27:00Z</dcterms:modified>
</cp:coreProperties>
</file>