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020BE" w14:textId="77777777" w:rsidR="004A15AD" w:rsidRDefault="004A15AD">
      <w:pPr>
        <w:jc w:val="center"/>
        <w:rPr>
          <w:rFonts w:cs="Times New Roman"/>
        </w:rPr>
      </w:pPr>
      <w:r>
        <w:rPr>
          <w:rFonts w:cs="Times New Roman"/>
        </w:rPr>
        <w:t>How One Becomes What One Is:</w:t>
      </w:r>
    </w:p>
    <w:p w14:paraId="36B4D2A5" w14:textId="77777777" w:rsidR="004A15AD" w:rsidRDefault="004A15AD">
      <w:pPr>
        <w:jc w:val="center"/>
        <w:rPr>
          <w:rFonts w:cs="Times New Roman"/>
        </w:rPr>
      </w:pPr>
      <w:r>
        <w:rPr>
          <w:rFonts w:cs="Times New Roman"/>
        </w:rPr>
        <w:t>The Case for a Nietzschean Conception of Character Development</w:t>
      </w:r>
    </w:p>
    <w:p w14:paraId="5201DFF0" w14:textId="77777777" w:rsidR="004A15AD" w:rsidRDefault="004A15AD">
      <w:pPr>
        <w:jc w:val="center"/>
        <w:rPr>
          <w:rFonts w:cs="Times New Roman"/>
        </w:rPr>
      </w:pPr>
    </w:p>
    <w:p w14:paraId="2CF8E5A3" w14:textId="77777777" w:rsidR="004A15AD" w:rsidRDefault="004A15AD">
      <w:pPr>
        <w:jc w:val="center"/>
        <w:rPr>
          <w:rFonts w:cs="Times New Roman"/>
        </w:rPr>
      </w:pPr>
      <w:r>
        <w:rPr>
          <w:rFonts w:cs="Times New Roman"/>
        </w:rPr>
        <w:t>by Mark Alfano, University of Oregon</w:t>
      </w:r>
    </w:p>
    <w:p w14:paraId="638E63D2" w14:textId="77777777" w:rsidR="004A15AD" w:rsidRDefault="004A15AD">
      <w:pPr>
        <w:rPr>
          <w:rFonts w:cs="Times New Roman"/>
          <w:b/>
          <w:bCs/>
        </w:rPr>
      </w:pPr>
      <w:r>
        <w:rPr>
          <w:rFonts w:cs="Times New Roman"/>
          <w:b/>
          <w:bCs/>
        </w:rPr>
        <w:t>1 Introduction</w:t>
      </w:r>
    </w:p>
    <w:p w14:paraId="689865AC" w14:textId="77777777" w:rsidR="004A15AD" w:rsidRDefault="004A15AD">
      <w:pPr>
        <w:rPr>
          <w:rFonts w:cs="Times New Roman"/>
        </w:rPr>
      </w:pPr>
    </w:p>
    <w:p w14:paraId="39817763" w14:textId="77777777" w:rsidR="004A15AD" w:rsidRDefault="004A15AD">
      <w:pPr>
        <w:rPr>
          <w:rFonts w:cs="Times New Roman"/>
        </w:rPr>
      </w:pPr>
      <w:r>
        <w:rPr>
          <w:rFonts w:cs="Times New Roman"/>
        </w:rPr>
        <w:t xml:space="preserve">Gone are the heady days when Bernard Williams (1993) could get away with saying that “Nietzsche is not a source of philosophical theories” (p. 4).  The last two decades have witnessed a flowering of research that aims to interpret, elucidate, and defend Nietzsche’s theories about science, the mind, and morality.  This paper is one more blossom in that efflorescence.  What I want to argue is that Nietzsche theorized three important and surprising moral psychological insights that have been born out by contemporary empirical psychology.  The first Nietzschean insight is the </w:t>
      </w:r>
      <w:r>
        <w:rPr>
          <w:rFonts w:cs="Times New Roman"/>
          <w:i/>
          <w:iCs/>
        </w:rPr>
        <w:t>disunity of the self</w:t>
      </w:r>
      <w:r>
        <w:rPr>
          <w:rFonts w:cs="Times New Roman"/>
        </w:rPr>
        <w:t xml:space="preserve">.   The second, connected, Nietzschean insight is the </w:t>
      </w:r>
      <w:r>
        <w:rPr>
          <w:rFonts w:cs="Times New Roman"/>
          <w:i/>
          <w:iCs/>
        </w:rPr>
        <w:t>primacy of affect</w:t>
      </w:r>
      <w:r>
        <w:rPr>
          <w:rFonts w:cs="Times New Roman"/>
        </w:rPr>
        <w:t xml:space="preserve">.  This primacy is expressed by what I have called elsewhere (Alfano 2010, 2013a) the </w:t>
      </w:r>
      <w:r>
        <w:rPr>
          <w:rFonts w:cs="Times New Roman"/>
          <w:i/>
          <w:iCs/>
        </w:rPr>
        <w:t>tenacity of the intentional</w:t>
      </w:r>
      <w:r>
        <w:rPr>
          <w:rFonts w:cs="Times New Roman"/>
        </w:rPr>
        <w:t xml:space="preserve">, and what Nietzsche calls the </w:t>
      </w:r>
      <w:r>
        <w:rPr>
          <w:rFonts w:cs="Times New Roman"/>
          <w:i/>
          <w:iCs/>
        </w:rPr>
        <w:t>Socratic equation</w:t>
      </w:r>
      <w:r>
        <w:rPr>
          <w:rFonts w:cs="Times New Roman"/>
        </w:rPr>
        <w:t xml:space="preserve"> (TI Socrates 4, 10; WP 2:432-3).  The third major Nietzschean insight is the </w:t>
      </w:r>
      <w:r>
        <w:rPr>
          <w:rFonts w:cs="Times New Roman"/>
          <w:i/>
          <w:iCs/>
        </w:rPr>
        <w:t>social construction of character</w:t>
      </w:r>
      <w:r>
        <w:rPr>
          <w:rFonts w:cs="Times New Roman"/>
        </w:rPr>
        <w:t xml:space="preserve">, which presupposes a wild </w:t>
      </w:r>
      <w:r>
        <w:rPr>
          <w:rFonts w:cs="Times New Roman"/>
          <w:i/>
          <w:iCs/>
        </w:rPr>
        <w:t>diversity within the extensions of trait-terms</w:t>
      </w:r>
      <w:r>
        <w:rPr>
          <w:rFonts w:cs="Times New Roman"/>
        </w:rPr>
        <w:t xml:space="preserve"> and the </w:t>
      </w:r>
      <w:r>
        <w:rPr>
          <w:rFonts w:cs="Times New Roman"/>
          <w:i/>
          <w:iCs/>
        </w:rPr>
        <w:t>dual direction of fit of character trait attributions</w:t>
      </w:r>
      <w:r>
        <w:rPr>
          <w:rFonts w:cs="Times New Roman"/>
        </w:rPr>
        <w:t xml:space="preserve">.  This last point is somewhat in tension with the only other published defense of the empirical credentials of Nietzsche’s moral psychology (Knobe &amp; Leiter 2007), so I will make a few remarks about the contrast between my view and theirs.  </w:t>
      </w:r>
    </w:p>
    <w:p w14:paraId="36CDED21" w14:textId="77777777" w:rsidR="004A15AD" w:rsidRDefault="004A15AD">
      <w:pPr>
        <w:rPr>
          <w:rFonts w:cs="Times New Roman"/>
        </w:rPr>
      </w:pPr>
    </w:p>
    <w:p w14:paraId="150ECE80" w14:textId="77777777" w:rsidR="004A15AD" w:rsidRDefault="004A15AD">
      <w:pPr>
        <w:rPr>
          <w:rFonts w:cs="Times New Roman"/>
        </w:rPr>
      </w:pPr>
      <w:r>
        <w:rPr>
          <w:rFonts w:cs="Times New Roman"/>
          <w:b/>
          <w:bCs/>
        </w:rPr>
        <w:t>2 Three Nietzschean insights</w:t>
      </w:r>
    </w:p>
    <w:p w14:paraId="7414D139" w14:textId="77777777" w:rsidR="004A15AD" w:rsidRDefault="004A15AD">
      <w:pPr>
        <w:rPr>
          <w:rFonts w:cs="Times New Roman"/>
        </w:rPr>
      </w:pPr>
    </w:p>
    <w:p w14:paraId="5DAB77E8" w14:textId="77777777" w:rsidR="004A15AD" w:rsidRDefault="004A15AD">
      <w:pPr>
        <w:rPr>
          <w:rFonts w:cs="Times New Roman"/>
        </w:rPr>
      </w:pPr>
      <w:r>
        <w:rPr>
          <w:rFonts w:cs="Times New Roman"/>
          <w:i/>
          <w:iCs/>
        </w:rPr>
        <w:t>2.1 The disunity of the self</w:t>
      </w:r>
    </w:p>
    <w:p w14:paraId="1623F765" w14:textId="77777777" w:rsidR="004A15AD" w:rsidRDefault="004A15AD">
      <w:pPr>
        <w:rPr>
          <w:rFonts w:cs="Times New Roman"/>
        </w:rPr>
      </w:pPr>
    </w:p>
    <w:p w14:paraId="7CD697AF" w14:textId="77777777" w:rsidR="004A15AD" w:rsidRDefault="004A15AD">
      <w:pPr>
        <w:rPr>
          <w:rFonts w:cs="Times New Roman"/>
        </w:rPr>
      </w:pPr>
      <w:r>
        <w:rPr>
          <w:rFonts w:cs="Times New Roman"/>
        </w:rPr>
        <w:t>When Nietzsche talks about the self, he often seems to contradict himself.  For each passage in which he explicitly denies the existence of the self, there is another where he affirms it.  Compare these two passages, for instance:</w:t>
      </w:r>
    </w:p>
    <w:p w14:paraId="4F86050A" w14:textId="77777777" w:rsidR="004A15AD" w:rsidRDefault="004A15AD">
      <w:pPr>
        <w:rPr>
          <w:rFonts w:cs="Times New Roman"/>
        </w:rPr>
      </w:pPr>
    </w:p>
    <w:p w14:paraId="637C4332" w14:textId="77777777" w:rsidR="004A15AD" w:rsidRDefault="004A15AD">
      <w:pPr>
        <w:ind w:left="720" w:right="720"/>
        <w:rPr>
          <w:rFonts w:ascii="Arial" w:hAnsi="Arial" w:cs="Arial"/>
        </w:rPr>
      </w:pPr>
      <w:r>
        <w:rPr>
          <w:rFonts w:cs="Times New Roman"/>
        </w:rPr>
        <w:t xml:space="preserve">The subject (or, to use a more popular expression, the </w:t>
      </w:r>
      <w:r>
        <w:rPr>
          <w:rFonts w:cs="Times New Roman"/>
          <w:i/>
          <w:iCs/>
        </w:rPr>
        <w:t>soul</w:t>
      </w:r>
      <w:r>
        <w:rPr>
          <w:rFonts w:cs="Times New Roman"/>
        </w:rPr>
        <w:t>) has perhaps been believed in hitherto more firmly than anything else on earth because it makes possible to the majority of mortals, the weak and oppressed of every kind, the sublime self-deception that interprets weakness as freedom. (</w:t>
      </w:r>
      <w:r>
        <w:rPr>
          <w:rFonts w:cs="Times New Roman"/>
          <w:i/>
          <w:iCs/>
        </w:rPr>
        <w:t>GM</w:t>
      </w:r>
      <w:r>
        <w:rPr>
          <w:rFonts w:cs="Times New Roman"/>
        </w:rPr>
        <w:t xml:space="preserve"> I:13)</w:t>
      </w:r>
      <w:r w:rsidR="006E1351">
        <w:rPr>
          <w:rStyle w:val="FootnoteReference"/>
        </w:rPr>
        <w:footnoteReference w:id="1"/>
      </w:r>
      <w:r>
        <w:rPr>
          <w:rFonts w:cs="Times New Roman"/>
        </w:rPr>
        <w:t xml:space="preserve"> </w:t>
      </w:r>
    </w:p>
    <w:p w14:paraId="312ACAF4" w14:textId="77777777" w:rsidR="004A15AD" w:rsidRDefault="004A15AD">
      <w:pPr>
        <w:ind w:left="720" w:right="720"/>
        <w:rPr>
          <w:rFonts w:ascii="Arial" w:hAnsi="Arial" w:cs="Arial"/>
        </w:rPr>
      </w:pPr>
    </w:p>
    <w:p w14:paraId="51B8BACC" w14:textId="77777777" w:rsidR="004A15AD" w:rsidRDefault="004A15AD">
      <w:pPr>
        <w:ind w:left="720" w:right="720"/>
        <w:rPr>
          <w:rFonts w:cs="Times New Roman"/>
        </w:rPr>
      </w:pPr>
      <w:r>
        <w:rPr>
          <w:rFonts w:cs="Times New Roman"/>
        </w:rPr>
        <w:t xml:space="preserve">At the bottom of us, really ‘deep down,’ there is […] some granite of spiritual </w:t>
      </w:r>
      <w:r>
        <w:rPr>
          <w:rFonts w:cs="Times New Roman"/>
          <w:i/>
          <w:iCs/>
        </w:rPr>
        <w:t>fatum</w:t>
      </w:r>
      <w:r>
        <w:rPr>
          <w:rFonts w:cs="Times New Roman"/>
        </w:rPr>
        <w:t xml:space="preserve"> [….] Whenever a cardinal problem is at stake, there speaks an unchangeable ‘this is I’.</w:t>
      </w:r>
      <w:r>
        <w:rPr>
          <w:rFonts w:cs="Times New Roman"/>
          <w:i/>
          <w:iCs/>
        </w:rPr>
        <w:t xml:space="preserve"> </w:t>
      </w:r>
      <w:r>
        <w:rPr>
          <w:rFonts w:cs="Times New Roman"/>
        </w:rPr>
        <w:t>(</w:t>
      </w:r>
      <w:r>
        <w:rPr>
          <w:rFonts w:cs="Times New Roman"/>
          <w:i/>
          <w:iCs/>
        </w:rPr>
        <w:t>BGE</w:t>
      </w:r>
      <w:r>
        <w:rPr>
          <w:rFonts w:cs="Times New Roman"/>
        </w:rPr>
        <w:t xml:space="preserve"> 231)</w:t>
      </w:r>
    </w:p>
    <w:p w14:paraId="36E2FAE1" w14:textId="77777777" w:rsidR="004A15AD" w:rsidRDefault="004A15AD">
      <w:pPr>
        <w:rPr>
          <w:rFonts w:cs="Times New Roman"/>
        </w:rPr>
      </w:pPr>
    </w:p>
    <w:p w14:paraId="3CBF4A41" w14:textId="77777777" w:rsidR="004A15AD" w:rsidRDefault="004A15AD">
      <w:pPr>
        <w:rPr>
          <w:rFonts w:cs="Times New Roman"/>
        </w:rPr>
      </w:pPr>
      <w:r>
        <w:rPr>
          <w:rFonts w:cs="Times New Roman"/>
        </w:rPr>
        <w:t xml:space="preserve">Or contrast these two: </w:t>
      </w:r>
    </w:p>
    <w:p w14:paraId="11906227" w14:textId="77777777" w:rsidR="004A15AD" w:rsidRDefault="004A15AD">
      <w:pPr>
        <w:rPr>
          <w:rFonts w:cs="Times New Roman"/>
        </w:rPr>
      </w:pPr>
    </w:p>
    <w:p w14:paraId="6B123108" w14:textId="77777777" w:rsidR="004A15AD" w:rsidRDefault="004A15AD">
      <w:pPr>
        <w:ind w:left="720" w:right="720"/>
        <w:rPr>
          <w:rFonts w:cs="Times New Roman"/>
        </w:rPr>
      </w:pPr>
      <w:r>
        <w:rPr>
          <w:rFonts w:cs="Times New Roman"/>
        </w:rPr>
        <w:t xml:space="preserve">‘The subject’ is the fiction that many similar states in us are the effect of one substratum: but it is we who first created the ‘similarity’ of these states; our </w:t>
      </w:r>
      <w:r>
        <w:rPr>
          <w:rFonts w:cs="Times New Roman"/>
        </w:rPr>
        <w:lastRenderedPageBreak/>
        <w:t>adjusting them and making them similar is the fact, not their similarity (– which ought rather to be denied –). (</w:t>
      </w:r>
      <w:r>
        <w:rPr>
          <w:rFonts w:cs="Times New Roman"/>
          <w:i/>
          <w:iCs/>
        </w:rPr>
        <w:t>WP</w:t>
      </w:r>
      <w:r>
        <w:rPr>
          <w:rFonts w:cs="Times New Roman"/>
        </w:rPr>
        <w:t xml:space="preserve"> 269) </w:t>
      </w:r>
    </w:p>
    <w:p w14:paraId="33EFE8F5" w14:textId="77777777" w:rsidR="004A15AD" w:rsidRDefault="004A15AD">
      <w:pPr>
        <w:rPr>
          <w:rFonts w:cs="Times New Roman"/>
        </w:rPr>
      </w:pPr>
    </w:p>
    <w:p w14:paraId="15C8CBF5" w14:textId="77777777" w:rsidR="004A15AD" w:rsidRDefault="004A15AD">
      <w:pPr>
        <w:ind w:left="720" w:right="720"/>
        <w:rPr>
          <w:rFonts w:cs="Times New Roman"/>
        </w:rPr>
      </w:pPr>
      <w:r>
        <w:rPr>
          <w:rFonts w:cs="Times New Roman"/>
          <w:lang w:val="en-GB"/>
        </w:rPr>
        <w:t xml:space="preserve">All instincts that do not discharge themselves outwardly </w:t>
      </w:r>
      <w:r>
        <w:rPr>
          <w:rFonts w:cs="Times New Roman"/>
          <w:i/>
          <w:iCs/>
          <w:lang w:val="en-GB"/>
        </w:rPr>
        <w:t>turn inward</w:t>
      </w:r>
      <w:r>
        <w:rPr>
          <w:rFonts w:cs="Times New Roman"/>
          <w:lang w:val="en-GB"/>
        </w:rPr>
        <w:t xml:space="preserve"> – this is what I call the </w:t>
      </w:r>
      <w:r>
        <w:rPr>
          <w:rFonts w:cs="Times New Roman"/>
          <w:i/>
          <w:iCs/>
          <w:lang w:val="en-GB"/>
        </w:rPr>
        <w:t>internalization</w:t>
      </w:r>
      <w:r>
        <w:rPr>
          <w:rFonts w:cs="Times New Roman"/>
          <w:lang w:val="en-GB"/>
        </w:rPr>
        <w:t xml:space="preserve"> of man: thus it was that man first developed what was later called his ‘soul’ [which one might at least be tempted to identify with the subject]</w:t>
      </w:r>
      <w:r>
        <w:rPr>
          <w:rFonts w:ascii="Arial" w:hAnsi="Arial" w:cs="Arial"/>
          <w:lang w:val="en-GB"/>
        </w:rPr>
        <w:t>.</w:t>
      </w:r>
      <w:r>
        <w:rPr>
          <w:rFonts w:cs="Times New Roman"/>
        </w:rPr>
        <w:t xml:space="preserve"> (</w:t>
      </w:r>
      <w:r>
        <w:rPr>
          <w:rFonts w:cs="Times New Roman"/>
          <w:i/>
          <w:iCs/>
        </w:rPr>
        <w:t>GM</w:t>
      </w:r>
      <w:r>
        <w:rPr>
          <w:rFonts w:cs="Times New Roman"/>
        </w:rPr>
        <w:t xml:space="preserve"> II:16)</w:t>
      </w:r>
    </w:p>
    <w:p w14:paraId="53453E62" w14:textId="77777777" w:rsidR="004A15AD" w:rsidRDefault="004A15AD">
      <w:pPr>
        <w:rPr>
          <w:rFonts w:cs="Times New Roman"/>
        </w:rPr>
      </w:pPr>
    </w:p>
    <w:p w14:paraId="22772147" w14:textId="77777777" w:rsidR="004A15AD" w:rsidRDefault="004A15AD">
      <w:pPr>
        <w:rPr>
          <w:rFonts w:cs="Times New Roman"/>
        </w:rPr>
      </w:pPr>
      <w:r>
        <w:rPr>
          <w:rFonts w:cs="Times New Roman"/>
        </w:rPr>
        <w:t>Or these:</w:t>
      </w:r>
    </w:p>
    <w:p w14:paraId="4F4454F1" w14:textId="77777777" w:rsidR="004A15AD" w:rsidRDefault="004A15AD">
      <w:pPr>
        <w:rPr>
          <w:rFonts w:cs="Times New Roman"/>
        </w:rPr>
      </w:pPr>
    </w:p>
    <w:p w14:paraId="0B7B8B94" w14:textId="77777777" w:rsidR="004A15AD" w:rsidRDefault="004A15AD">
      <w:pPr>
        <w:ind w:left="720" w:right="720"/>
        <w:rPr>
          <w:rFonts w:cs="Times New Roman"/>
        </w:rPr>
      </w:pPr>
      <w:r>
        <w:rPr>
          <w:rFonts w:cs="Times New Roman"/>
        </w:rPr>
        <w:t>Through thought the ego is posited; but hitherto one believed [...] that in ‘I think’ there was something of immediate certainty, and that this ‘I’ was the given cause of thought [….] However habitual and indispensable this fiction may have become by now – that in itself proves nothing against its imaginary origin. (</w:t>
      </w:r>
      <w:r>
        <w:rPr>
          <w:rFonts w:cs="Times New Roman"/>
          <w:i/>
          <w:iCs/>
        </w:rPr>
        <w:t>WP</w:t>
      </w:r>
      <w:r>
        <w:rPr>
          <w:rFonts w:cs="Times New Roman"/>
        </w:rPr>
        <w:t xml:space="preserve"> 268)</w:t>
      </w:r>
    </w:p>
    <w:p w14:paraId="1DA66111" w14:textId="77777777" w:rsidR="004A15AD" w:rsidRDefault="004A15AD">
      <w:pPr>
        <w:ind w:left="720" w:right="720"/>
        <w:rPr>
          <w:rFonts w:cs="Times New Roman"/>
        </w:rPr>
      </w:pPr>
      <w:r>
        <w:rPr>
          <w:rFonts w:cs="Times New Roman"/>
        </w:rPr>
        <w:t xml:space="preserve"> </w:t>
      </w:r>
    </w:p>
    <w:p w14:paraId="12E69AC7" w14:textId="77777777" w:rsidR="004A15AD" w:rsidRDefault="004A15AD">
      <w:pPr>
        <w:ind w:left="720" w:right="720"/>
        <w:rPr>
          <w:rFonts w:cs="Times New Roman"/>
        </w:rPr>
      </w:pPr>
      <w:r>
        <w:rPr>
          <w:rFonts w:cs="Times New Roman"/>
        </w:rPr>
        <w:t>Behind your thoughts and feelings, my brother, stands a mighty commander, an unknown sage – he is called Self.  He lives in your body, he is your body. (</w:t>
      </w:r>
      <w:r>
        <w:rPr>
          <w:rFonts w:cs="Times New Roman"/>
          <w:i/>
          <w:iCs/>
        </w:rPr>
        <w:t>Z</w:t>
      </w:r>
      <w:r>
        <w:rPr>
          <w:rFonts w:cs="Times New Roman"/>
        </w:rPr>
        <w:t xml:space="preserve"> I.4)</w:t>
      </w:r>
    </w:p>
    <w:p w14:paraId="33CC705A" w14:textId="77777777" w:rsidR="004A15AD" w:rsidRDefault="004A15AD">
      <w:pPr>
        <w:rPr>
          <w:rFonts w:cs="Times New Roman"/>
        </w:rPr>
      </w:pPr>
      <w:r>
        <w:rPr>
          <w:rFonts w:cs="Times New Roman"/>
        </w:rPr>
        <w:t xml:space="preserve">  </w:t>
      </w:r>
    </w:p>
    <w:p w14:paraId="44FEFF0B" w14:textId="77777777" w:rsidR="004A15AD" w:rsidRDefault="004A15AD">
      <w:pPr>
        <w:rPr>
          <w:rFonts w:cs="Times New Roman"/>
        </w:rPr>
      </w:pPr>
      <w:r>
        <w:rPr>
          <w:rFonts w:cs="Times New Roman"/>
        </w:rPr>
        <w:t xml:space="preserve">The tension between these pairs of quotations cannot be explained away by positing a change of heart or a failure to recognize inconsistency.  Instead, the self whose existence Nietzsche denies differs so dramatically from the self he accepts that the inconsistency of his view is merely apparent.  While he rejects the traditional notion of the self, he accepts a novel conception.  Moreover, this novel conception has two levels: a descriptive level, at which a self is just a body, and a normative or honorific level at which a self is a body whose affects, desires, and drives are organized in a particular way.  On this view, the extent to which one is a self is a matter of degree, not an all-or-nothing affair.  The more wholehearted one is, the more one really is a self.  For Nietzsche, wholeheartedness is a healthy, flourishing way to be.  </w:t>
      </w:r>
    </w:p>
    <w:p w14:paraId="058B1461" w14:textId="77777777" w:rsidR="004A15AD" w:rsidRDefault="004A15AD">
      <w:pPr>
        <w:rPr>
          <w:rFonts w:cs="Times New Roman"/>
        </w:rPr>
      </w:pPr>
    </w:p>
    <w:p w14:paraId="43997660" w14:textId="77777777" w:rsidR="004A15AD" w:rsidRDefault="004A15AD">
      <w:pPr>
        <w:tabs>
          <w:tab w:val="left" w:pos="-4500"/>
        </w:tabs>
        <w:rPr>
          <w:rFonts w:cs="Times New Roman"/>
        </w:rPr>
      </w:pPr>
      <w:r>
        <w:rPr>
          <w:rFonts w:cs="Times New Roman"/>
        </w:rPr>
        <w:t>Nietzsche opposes the conception of the self as a “pure will-less, painless, timeless subject of knowledge” (</w:t>
      </w:r>
      <w:r>
        <w:rPr>
          <w:rFonts w:cs="Times New Roman"/>
          <w:i/>
          <w:iCs/>
        </w:rPr>
        <w:t>GM</w:t>
      </w:r>
      <w:r>
        <w:rPr>
          <w:rFonts w:cs="Times New Roman"/>
        </w:rPr>
        <w:t xml:space="preserve"> III.12), a conception he attributes with some justice to Kant.  As Nietzsche understands the Kantian picture of the self, a person is essentially a unified, practically rational will that makes choices on the basis of known principles.  Though a person may have all manner of desires, sentiments, and preferences, they are strictly irrelevant to who and what she is.  The person herself stands behind these impulses, possessed of an autonomous capacity for rational choice.</w:t>
      </w:r>
    </w:p>
    <w:p w14:paraId="715F0FFF" w14:textId="77777777" w:rsidR="004A15AD" w:rsidRDefault="004A15AD">
      <w:pPr>
        <w:tabs>
          <w:tab w:val="left" w:pos="-4500"/>
        </w:tabs>
        <w:rPr>
          <w:rFonts w:cs="Times New Roman"/>
        </w:rPr>
      </w:pPr>
    </w:p>
    <w:p w14:paraId="66F5A2A5" w14:textId="77777777" w:rsidR="004A15AD" w:rsidRDefault="004A15AD">
      <w:pPr>
        <w:tabs>
          <w:tab w:val="left" w:pos="-4500"/>
        </w:tabs>
        <w:rPr>
          <w:rFonts w:cs="Times New Roman"/>
        </w:rPr>
      </w:pPr>
      <w:r>
        <w:rPr>
          <w:rFonts w:cs="Times New Roman"/>
        </w:rPr>
        <w:t>Nietzsche denies this Kantian conception of the self (Janaway 2007, p. 220; Katsafanas 2011; Risse 2007; Richardson 1996, p. 46).  But even if the self is not a unified, conscious, knowing, rational monad (GS 333, 354, 357), it may nevertheless exist as a teeming, diverse, non-conscious, desiring, irrational swarm.  This interpretation of the Nietzschean self is supported by D 119, where he remarks that a person’s “</w:t>
      </w:r>
      <w:r>
        <w:rPr>
          <w:rFonts w:cs="Times New Roman"/>
          <w:i/>
          <w:iCs/>
        </w:rPr>
        <w:t>drives</w:t>
      </w:r>
      <w:r>
        <w:rPr>
          <w:rFonts w:cs="Times New Roman"/>
        </w:rPr>
        <w:t>” (note the plural) “constitute his being.”</w:t>
      </w:r>
    </w:p>
    <w:p w14:paraId="786D7B44" w14:textId="77777777" w:rsidR="004A15AD" w:rsidRDefault="004A15AD">
      <w:pPr>
        <w:tabs>
          <w:tab w:val="left" w:pos="-4500"/>
        </w:tabs>
        <w:rPr>
          <w:rFonts w:ascii="Arial" w:hAnsi="Arial" w:cs="Arial"/>
        </w:rPr>
      </w:pPr>
    </w:p>
    <w:p w14:paraId="1B1ECC0D" w14:textId="77777777" w:rsidR="004A15AD" w:rsidRDefault="004A15AD">
      <w:pPr>
        <w:tabs>
          <w:tab w:val="left" w:pos="-4500"/>
        </w:tabs>
        <w:rPr>
          <w:rFonts w:cs="Times New Roman"/>
        </w:rPr>
      </w:pPr>
      <w:r>
        <w:rPr>
          <w:rFonts w:cs="Times New Roman"/>
        </w:rPr>
        <w:t xml:space="preserve">Many contemporary interpretations of Nietzsche cluster around this view.  According to Richardson, for instance, a person is not “a simple will for Nietzsche but an organized complex of numerous drives of various strengths” (1996, p. 46).  Janaway says that “the great bulk of the </w:t>
      </w:r>
      <w:r>
        <w:rPr>
          <w:rFonts w:cs="Times New Roman"/>
        </w:rPr>
        <w:lastRenderedPageBreak/>
        <w:t>real self” for Nietzsche is “composed of many competing drives” (2007, p. 18-19) and constituted by a “literal multiplicity of affects” (2008, p. 127).  On his interpretation, the Nietzschean self is “a composite of hierarchically related drives” (2007, p. 263).  For Risse (2007, p. 77), “What unites those drives and affects is their joint presence in one body with shared memories and cognitive abilities.”</w:t>
      </w:r>
    </w:p>
    <w:p w14:paraId="0786DB61" w14:textId="77777777" w:rsidR="004A15AD" w:rsidRDefault="004A15AD">
      <w:pPr>
        <w:tabs>
          <w:tab w:val="left" w:pos="-4500"/>
        </w:tabs>
        <w:rPr>
          <w:rFonts w:ascii="Arial" w:hAnsi="Arial" w:cs="Arial"/>
        </w:rPr>
      </w:pPr>
    </w:p>
    <w:p w14:paraId="5B9AC4BF" w14:textId="77777777" w:rsidR="004A15AD" w:rsidRDefault="004A15AD">
      <w:pPr>
        <w:tabs>
          <w:tab w:val="left" w:pos="-4500"/>
        </w:tabs>
        <w:rPr>
          <w:rFonts w:cs="Times New Roman"/>
        </w:rPr>
      </w:pPr>
      <w:r>
        <w:rPr>
          <w:rFonts w:cs="Times New Roman"/>
        </w:rPr>
        <w:t>This apparent consensus, however, masks a crucial question.  Is the Nietzschean self merely a congeries of desires, drives, and affects that inhere in a given body, or is there something more to it?  The correct response, I contend, is that both answers capture an aspect of Nietzsche’s full position.  He thinks of the self as minimally the collection of desires, affects, and drives inherent in a given body, but he reserves a special, honorific status for selves that exhibit wholeheartedness.</w:t>
      </w:r>
    </w:p>
    <w:p w14:paraId="5B7AA92E" w14:textId="77777777" w:rsidR="004A15AD" w:rsidRDefault="004A15AD">
      <w:pPr>
        <w:tabs>
          <w:tab w:val="left" w:pos="-4500"/>
        </w:tabs>
        <w:rPr>
          <w:rFonts w:ascii="Arial" w:hAnsi="Arial" w:cs="Arial"/>
        </w:rPr>
      </w:pPr>
    </w:p>
    <w:p w14:paraId="0BB922BB" w14:textId="77777777" w:rsidR="004A15AD" w:rsidRDefault="004A15AD">
      <w:pPr>
        <w:tabs>
          <w:tab w:val="left" w:pos="-4500"/>
        </w:tabs>
        <w:rPr>
          <w:rFonts w:ascii="Arial" w:hAnsi="Arial" w:cs="Arial"/>
        </w:rPr>
      </w:pPr>
      <w:r>
        <w:rPr>
          <w:rFonts w:cs="Times New Roman"/>
        </w:rPr>
        <w:t>This interpretation reconciles pronouncements like Z I.4 that the self just is the body, with more sophisticated claims elsewhere that the self is some kind of organization of one’s internal life.  For instance, in BGE 6, Nietzsche equates the question who someone really is with the question “by what rank order the innermost drives of his nature are related to each other,” implying that the self is not a mere collection of drives but (at least in the ideal case) a structured system of drives.</w:t>
      </w:r>
    </w:p>
    <w:p w14:paraId="58760B51" w14:textId="77777777" w:rsidR="004A15AD" w:rsidRDefault="004A15AD">
      <w:pPr>
        <w:tabs>
          <w:tab w:val="left" w:pos="-4500"/>
        </w:tabs>
        <w:rPr>
          <w:rFonts w:ascii="Arial" w:hAnsi="Arial" w:cs="Arial"/>
        </w:rPr>
      </w:pPr>
    </w:p>
    <w:p w14:paraId="439D02C9" w14:textId="77777777" w:rsidR="004A15AD" w:rsidRDefault="004A15AD">
      <w:pPr>
        <w:tabs>
          <w:tab w:val="left" w:pos="-4500"/>
        </w:tabs>
        <w:rPr>
          <w:rFonts w:cs="Times New Roman"/>
        </w:rPr>
      </w:pPr>
      <w:r>
        <w:rPr>
          <w:rFonts w:cs="Times New Roman"/>
        </w:rPr>
        <w:t xml:space="preserve">This Nietzschean theory of the self further suggests that being a self is not a binary, all-or-nothing affair.  Instead, one is more or less a self in the honorific sense in direct proportion to one’s wholeheartedness.  If this is right, it helps explain the enigmatic subtitle of </w:t>
      </w:r>
      <w:r>
        <w:rPr>
          <w:rFonts w:cs="Times New Roman"/>
          <w:i/>
          <w:iCs/>
        </w:rPr>
        <w:t>Ecce Homo</w:t>
      </w:r>
      <w:r>
        <w:rPr>
          <w:rFonts w:cs="Times New Roman"/>
        </w:rPr>
        <w:t>: “How One Becomes What One Is.”</w:t>
      </w:r>
      <w:r>
        <w:rPr>
          <w:rStyle w:val="FootnoteReference"/>
          <w:rFonts w:ascii="Arial" w:hAnsi="Arial" w:cs="Arial"/>
        </w:rPr>
        <w:footnoteReference w:id="2"/>
      </w:r>
      <w:r>
        <w:rPr>
          <w:rFonts w:cs="Times New Roman"/>
        </w:rPr>
        <w:t xml:space="preserve">  One essentially is one’s desires, which are thrust upon one by fate, but one becomes what one is by endorsing those desires, by exercising what Nietzsche sometimes calls </w:t>
      </w:r>
      <w:r>
        <w:rPr>
          <w:rFonts w:cs="Times New Roman"/>
          <w:i/>
          <w:iCs/>
        </w:rPr>
        <w:t>amor fati</w:t>
      </w:r>
      <w:r>
        <w:rPr>
          <w:rFonts w:ascii="Arial" w:hAnsi="Arial" w:cs="Arial"/>
        </w:rPr>
        <w:t>.</w:t>
      </w:r>
    </w:p>
    <w:p w14:paraId="7980A31F" w14:textId="77777777" w:rsidR="004A15AD" w:rsidRDefault="004A15AD">
      <w:pPr>
        <w:tabs>
          <w:tab w:val="left" w:pos="-4500"/>
        </w:tabs>
        <w:rPr>
          <w:rFonts w:cs="Times New Roman"/>
        </w:rPr>
      </w:pPr>
    </w:p>
    <w:p w14:paraId="56FECEC0" w14:textId="77777777" w:rsidR="004A15AD" w:rsidRDefault="004A15AD">
      <w:pPr>
        <w:tabs>
          <w:tab w:val="left" w:pos="-4500"/>
        </w:tabs>
        <w:rPr>
          <w:rFonts w:cs="Times New Roman"/>
        </w:rPr>
      </w:pPr>
      <w:r>
        <w:rPr>
          <w:rFonts w:cs="Times New Roman"/>
        </w:rPr>
        <w:t xml:space="preserve">The main pieces of this picture are: 1) the human self is importantly embodied; 2) it is not unified by consciousness or the rational will; 3) it </w:t>
      </w:r>
      <w:r>
        <w:rPr>
          <w:rFonts w:cs="Times New Roman"/>
          <w:i/>
          <w:iCs/>
        </w:rPr>
        <w:t>may</w:t>
      </w:r>
      <w:r>
        <w:rPr>
          <w:rFonts w:cs="Times New Roman"/>
        </w:rPr>
        <w:t xml:space="preserve"> become unified through harmony among the affects, desires, and drives; and 4) this sort of harmony contributes to (and may even constitute) well-being.</w:t>
      </w:r>
      <w:r>
        <w:rPr>
          <w:rStyle w:val="FootnoteReference"/>
        </w:rPr>
        <w:footnoteReference w:id="3"/>
      </w:r>
    </w:p>
    <w:p w14:paraId="084E8A93" w14:textId="77777777" w:rsidR="004A15AD" w:rsidRDefault="004A15AD">
      <w:pPr>
        <w:tabs>
          <w:tab w:val="left" w:pos="-4500"/>
        </w:tabs>
        <w:rPr>
          <w:rFonts w:cs="Times New Roman"/>
        </w:rPr>
      </w:pPr>
    </w:p>
    <w:p w14:paraId="4826CF51" w14:textId="77777777" w:rsidR="004A15AD" w:rsidRDefault="004A15AD">
      <w:pPr>
        <w:tabs>
          <w:tab w:val="left" w:pos="-4500"/>
        </w:tabs>
        <w:rPr>
          <w:rFonts w:cs="Times New Roman"/>
        </w:rPr>
      </w:pPr>
      <w:r>
        <w:rPr>
          <w:rFonts w:cs="Times New Roman"/>
        </w:rPr>
        <w:t xml:space="preserve">Empirical support for these theses is not far to seek.  The implications of embodiment are one of the main areas of exploration of the psychology of the last few decades, which have focused on the embodied nature of affect and cognition.   The philosophical debate has certainly not been settled, but I at least side with those who think that the disunity of the mind is better supported than the opposite view (Prinz 2013).  But what I really want to focus on is the potential for harmony among conative states and dispositions, and the impact of this harmony on well-being.  </w:t>
      </w:r>
      <w:r>
        <w:rPr>
          <w:rFonts w:cs="Times New Roman"/>
        </w:rPr>
        <w:lastRenderedPageBreak/>
        <w:t xml:space="preserve">In this discussion, I draw primarily on the work of Daniel Kahneman, which is beautifully summarized in his recent capstone monograph, </w:t>
      </w:r>
      <w:r>
        <w:rPr>
          <w:rFonts w:cs="Times New Roman"/>
          <w:i/>
          <w:iCs/>
        </w:rPr>
        <w:t>Thinking, Fast and Slow</w:t>
      </w:r>
      <w:r>
        <w:rPr>
          <w:rFonts w:cs="Times New Roman"/>
        </w:rPr>
        <w:t xml:space="preserve"> (2011).</w:t>
      </w:r>
    </w:p>
    <w:p w14:paraId="13EC2CD2" w14:textId="77777777" w:rsidR="004A15AD" w:rsidRDefault="004A15AD">
      <w:pPr>
        <w:tabs>
          <w:tab w:val="left" w:pos="-4500"/>
        </w:tabs>
        <w:rPr>
          <w:rFonts w:cs="Times New Roman"/>
        </w:rPr>
      </w:pPr>
    </w:p>
    <w:p w14:paraId="66803852" w14:textId="77777777" w:rsidR="004A15AD" w:rsidRDefault="004A15AD">
      <w:pPr>
        <w:tabs>
          <w:tab w:val="left" w:pos="-4500"/>
        </w:tabs>
        <w:rPr>
          <w:rFonts w:cs="Times New Roman"/>
        </w:rPr>
      </w:pPr>
      <w:r>
        <w:rPr>
          <w:rFonts w:cs="Times New Roman"/>
        </w:rPr>
        <w:t>The picture of human agency that has emerged from decades of research by Kahneman and other psychologists is deeply and fundamentally disunified.  A crucial distinction in his work is between two “systems,” which he characterizes as follows: “</w:t>
      </w:r>
      <w:r>
        <w:rPr>
          <w:rFonts w:cs="Times New Roman"/>
          <w:i/>
          <w:iCs/>
        </w:rPr>
        <w:t>System 1</w:t>
      </w:r>
      <w:r>
        <w:rPr>
          <w:rFonts w:cs="Times New Roman"/>
        </w:rPr>
        <w:t xml:space="preserve"> operates automatically and quickly, with little or no effort and no sense of conscious control” (p. 20).  Its processes are often unconscious and affect-laden, and may be unamenable to introspection.  Typically, we experience only the </w:t>
      </w:r>
      <w:r>
        <w:rPr>
          <w:rFonts w:cs="Times New Roman"/>
          <w:i/>
          <w:iCs/>
        </w:rPr>
        <w:t>deliverances</w:t>
      </w:r>
      <w:r>
        <w:rPr>
          <w:rFonts w:cs="Times New Roman"/>
        </w:rPr>
        <w:t xml:space="preserve"> of System 1 as intuitions and impulses, which often seem inevitable, obvious, and right.  In contrast, “</w:t>
      </w:r>
      <w:r>
        <w:rPr>
          <w:rFonts w:cs="Times New Roman"/>
          <w:i/>
          <w:iCs/>
        </w:rPr>
        <w:t>System 2</w:t>
      </w:r>
      <w:r>
        <w:rPr>
          <w:rFonts w:cs="Times New Roman"/>
        </w:rPr>
        <w:t xml:space="preserve"> allocates attention to the effortful mental activities that demand it, including complex computations.  The operations of System 2 are often associated with the subjective experience of agency, choice, and concentration” (p. 21).  Though System 2 is often assumed to be the true self, Kahneman contends that System 1 should wear that crown, and for several reasons.  First, most of our cognitive and affective states and behavior are the products of System 1; the automatic, affective system runs the show.  Second, System 2 is “lazy” (p. 39), unreliable, and often a mere bystander.</w:t>
      </w:r>
    </w:p>
    <w:p w14:paraId="5FFD9F4B" w14:textId="77777777" w:rsidR="004A15AD" w:rsidRDefault="004A15AD">
      <w:pPr>
        <w:tabs>
          <w:tab w:val="left" w:pos="-4500"/>
        </w:tabs>
        <w:rPr>
          <w:rFonts w:cs="Times New Roman"/>
        </w:rPr>
      </w:pPr>
    </w:p>
    <w:p w14:paraId="1FD4E39A" w14:textId="77777777" w:rsidR="004A15AD" w:rsidRDefault="004A15AD">
      <w:pPr>
        <w:tabs>
          <w:tab w:val="left" w:pos="-4500"/>
        </w:tabs>
        <w:rPr>
          <w:rFonts w:cs="Times New Roman"/>
        </w:rPr>
      </w:pPr>
      <w:r>
        <w:rPr>
          <w:rFonts w:cs="Times New Roman"/>
        </w:rPr>
        <w:t xml:space="preserve">As Kahneman realizes, talk of two systems is prone to lead to reification, but he is resolute in his commitment to the distinction between these two forms of processing.  Though System 2 may have some degree of unity, System 1 is better seen as a loose collection of – sometimes cooperating, sometimes competing – semi-autonomous processes.  The affect heuristic, which I discuss in more detail below, is one such process, but Kahneman and his colleagues have investigated many others, especially the availability and representativeness heuristics.  </w:t>
      </w:r>
    </w:p>
    <w:p w14:paraId="452C5F3D" w14:textId="77777777" w:rsidR="004A15AD" w:rsidRDefault="004A15AD">
      <w:pPr>
        <w:tabs>
          <w:tab w:val="left" w:pos="-4500"/>
        </w:tabs>
        <w:rPr>
          <w:rFonts w:cs="Times New Roman"/>
        </w:rPr>
      </w:pPr>
    </w:p>
    <w:p w14:paraId="524E8E43" w14:textId="77777777" w:rsidR="004A15AD" w:rsidRDefault="004A15AD">
      <w:pPr>
        <w:tabs>
          <w:tab w:val="left" w:pos="-4500"/>
        </w:tabs>
        <w:rPr>
          <w:rFonts w:cs="Times New Roman"/>
        </w:rPr>
      </w:pPr>
      <w:r>
        <w:rPr>
          <w:rFonts w:cs="Times New Roman"/>
        </w:rPr>
        <w:t>Thus, there are at least two levels of disunity within this picture.  First, in many instances, System 1 and System 2 will “disagree” with each other, and since the processes in System 1 tend to be unconscious, there will be no easy way to resolve their conflict.  Second, System 1 itself is only a loose collection of processes, states, and dispositions, so different parts of System 1 will sometimes conflict with each other.  Moreover, since System 1 runs the show, disputes between it and System 2 (and disputes within System 1) are registered affectively, as decrements in well-being.  In particular, since System 2 processes tend to be conscious, they tend to be second-order (Rosenthal 2006), so when System 1 and System 2 disagree, this will typically be manifested as a lack of second-order identification or satisfaction with the deliverances of System 1 – exactly the failure of wholeheartedness that Nietzsche thinks is prone to undermine selfhood in the normative or honorific sense.</w:t>
      </w:r>
      <w:r>
        <w:rPr>
          <w:rStyle w:val="FootnoteReference"/>
        </w:rPr>
        <w:footnoteReference w:id="4"/>
      </w:r>
    </w:p>
    <w:p w14:paraId="2AB477C8" w14:textId="77777777" w:rsidR="004A15AD" w:rsidRDefault="004A15AD">
      <w:pPr>
        <w:rPr>
          <w:rFonts w:cs="Times New Roman"/>
        </w:rPr>
      </w:pPr>
    </w:p>
    <w:p w14:paraId="68640C85" w14:textId="77777777" w:rsidR="004A15AD" w:rsidRDefault="004A15AD">
      <w:pPr>
        <w:rPr>
          <w:rFonts w:cs="Times New Roman"/>
        </w:rPr>
      </w:pPr>
      <w:r>
        <w:rPr>
          <w:rFonts w:cs="Times New Roman"/>
          <w:i/>
          <w:iCs/>
        </w:rPr>
        <w:t>2.2 The primacy of affect</w:t>
      </w:r>
    </w:p>
    <w:p w14:paraId="6141347D" w14:textId="77777777" w:rsidR="004A15AD" w:rsidRDefault="004A15AD">
      <w:pPr>
        <w:rPr>
          <w:rFonts w:cs="Times New Roman"/>
        </w:rPr>
      </w:pPr>
    </w:p>
    <w:p w14:paraId="1D878803" w14:textId="77777777" w:rsidR="004A15AD" w:rsidRDefault="004A15AD">
      <w:pPr>
        <w:rPr>
          <w:rFonts w:cs="Times New Roman"/>
        </w:rPr>
      </w:pPr>
      <w:r>
        <w:rPr>
          <w:rFonts w:cs="Times New Roman"/>
        </w:rPr>
        <w:t xml:space="preserve">The primacy of affect refers to the idea that “hot” mental states, dispositions, and processes (affect, emotion, desire) – as opposed to “cold” states, dispositions, and processes (consciousness, cognition, and reasons) – are fundamental.  This might seem like a restatement </w:t>
      </w:r>
      <w:r>
        <w:rPr>
          <w:rFonts w:cs="Times New Roman"/>
        </w:rPr>
        <w:lastRenderedPageBreak/>
        <w:t>of the old Humean saw that reason is the slave of the passions, but Nietzsche puts his own distinctive spin on the idea, relying on the embodied nature of the self.</w:t>
      </w:r>
      <w:r>
        <w:rPr>
          <w:rStyle w:val="FootnoteReference"/>
        </w:rPr>
        <w:footnoteReference w:id="5"/>
      </w:r>
      <w:r>
        <w:rPr>
          <w:rFonts w:cs="Times New Roman"/>
        </w:rPr>
        <w:t xml:space="preserve">  Two examples of the primacy of affect help to clarify his position.</w:t>
      </w:r>
    </w:p>
    <w:p w14:paraId="7379A471" w14:textId="77777777" w:rsidR="004A15AD" w:rsidRDefault="004A15AD">
      <w:pPr>
        <w:rPr>
          <w:rFonts w:cs="Times New Roman"/>
        </w:rPr>
      </w:pPr>
    </w:p>
    <w:p w14:paraId="1CA67C96" w14:textId="77777777" w:rsidR="004A15AD" w:rsidRDefault="004A15AD">
      <w:pPr>
        <w:rPr>
          <w:rFonts w:cs="Times New Roman"/>
        </w:rPr>
      </w:pPr>
      <w:r>
        <w:rPr>
          <w:rFonts w:cs="Times New Roman"/>
          <w:u w:val="single"/>
        </w:rPr>
        <w:t>2.2.1 The tenacity of the intentional</w:t>
      </w:r>
    </w:p>
    <w:p w14:paraId="3A0651F2" w14:textId="77777777" w:rsidR="004A15AD" w:rsidRDefault="004A15AD">
      <w:pPr>
        <w:rPr>
          <w:rFonts w:cs="Times New Roman"/>
        </w:rPr>
      </w:pPr>
    </w:p>
    <w:p w14:paraId="1F828762" w14:textId="77777777" w:rsidR="004A15AD" w:rsidRDefault="004A15AD">
      <w:pPr>
        <w:rPr>
          <w:rFonts w:cs="Times New Roman"/>
        </w:rPr>
      </w:pPr>
      <w:r>
        <w:rPr>
          <w:rFonts w:cs="Times New Roman"/>
        </w:rPr>
        <w:t xml:space="preserve">One natural assumption about desire-like states is that satisfying them also extinguishes them.  If you want to eat some guacamole, and then you do so, you will presumably no longer want to eat guacamole.  What about when a desire-like state loses its object?  For instance, someone madly in love is abandoned by his paramour.  Or someone’s resented father dies.  Or a committed Christian ceases to find the existence of God credible.  It might seem that, in these cases as well, since the intentional object of the mental state is unavailable, the state itself would dissipate.  Against this, Nietzsche subscribes to a view I have elsewhere dubbed the </w:t>
      </w:r>
      <w:r>
        <w:rPr>
          <w:rFonts w:cs="Times New Roman"/>
          <w:i/>
          <w:iCs/>
        </w:rPr>
        <w:t>tenacity of the intentional</w:t>
      </w:r>
      <w:r>
        <w:rPr>
          <w:rFonts w:cs="Times New Roman"/>
        </w:rPr>
        <w:t xml:space="preserve"> (Alfano 2010, 2013a): When an intentional state with a subpropositional object loses its object, the affective component of the state often persists without a corresponding object, and that affect will generally be redeployed in a state with a distinct object.  More precisely, the probability of redeployment is positively correlated with the strength of the affect.</w:t>
      </w:r>
    </w:p>
    <w:p w14:paraId="6D90859A" w14:textId="77777777" w:rsidR="004A15AD" w:rsidRDefault="004A15AD">
      <w:pPr>
        <w:rPr>
          <w:rFonts w:cs="Times New Roman"/>
        </w:rPr>
      </w:pPr>
    </w:p>
    <w:p w14:paraId="5C625E54" w14:textId="77777777" w:rsidR="004A15AD" w:rsidRDefault="004A15AD">
      <w:pPr>
        <w:rPr>
          <w:rFonts w:cs="Times New Roman"/>
        </w:rPr>
      </w:pPr>
      <w:r>
        <w:rPr>
          <w:rFonts w:cs="Times New Roman"/>
        </w:rPr>
        <w:t>Nietzsche makes claims that rely on such tenacity</w:t>
      </w:r>
      <w:r>
        <w:rPr>
          <w:rFonts w:cs="Times New Roman"/>
          <w:i/>
          <w:iCs/>
        </w:rPr>
        <w:t xml:space="preserve"> </w:t>
      </w:r>
      <w:r>
        <w:rPr>
          <w:rFonts w:cs="Times New Roman"/>
        </w:rPr>
        <w:t>throughout his writings.  A few examples:</w:t>
      </w:r>
    </w:p>
    <w:p w14:paraId="44C9A03F" w14:textId="77777777" w:rsidR="004A15AD" w:rsidRDefault="004A15AD">
      <w:pPr>
        <w:rPr>
          <w:rFonts w:cs="Times New Roman"/>
        </w:rPr>
      </w:pPr>
    </w:p>
    <w:p w14:paraId="061561AA" w14:textId="77777777" w:rsidR="004A15AD" w:rsidRDefault="004A15AD">
      <w:pPr>
        <w:ind w:left="720" w:right="720"/>
        <w:rPr>
          <w:rFonts w:cs="Times New Roman"/>
        </w:rPr>
      </w:pPr>
      <w:r>
        <w:rPr>
          <w:rFonts w:cs="Times New Roman"/>
        </w:rPr>
        <w:t>However much one thinks he has lost the habit of religion, he has not lost it to the degree that he would not enjoy encountering religious feelings and moods without any conceptual content. (</w:t>
      </w:r>
      <w:r>
        <w:rPr>
          <w:rFonts w:cs="Times New Roman"/>
          <w:i/>
          <w:iCs/>
        </w:rPr>
        <w:t>HH</w:t>
      </w:r>
      <w:r>
        <w:rPr>
          <w:rFonts w:cs="Times New Roman"/>
        </w:rPr>
        <w:t xml:space="preserve"> 131)</w:t>
      </w:r>
    </w:p>
    <w:p w14:paraId="7D5062E3" w14:textId="77777777" w:rsidR="004A15AD" w:rsidRDefault="004A15AD">
      <w:pPr>
        <w:ind w:left="720" w:right="720"/>
        <w:rPr>
          <w:rFonts w:cs="Times New Roman"/>
        </w:rPr>
      </w:pPr>
    </w:p>
    <w:p w14:paraId="0FEE9E25" w14:textId="77777777" w:rsidR="004A15AD" w:rsidRDefault="004A15AD">
      <w:pPr>
        <w:ind w:left="720" w:right="720"/>
        <w:rPr>
          <w:rFonts w:cs="Times New Roman"/>
        </w:rPr>
      </w:pPr>
      <w:r>
        <w:rPr>
          <w:rFonts w:cs="Times New Roman"/>
        </w:rPr>
        <w:t>[Buddhism and Christianity flourished because] they encountered a situation in which the will had become diseased, giving rise to a demand that had become utterly desperate for some ‘thou shalt.’ (</w:t>
      </w:r>
      <w:r>
        <w:rPr>
          <w:rFonts w:cs="Times New Roman"/>
          <w:i/>
          <w:iCs/>
        </w:rPr>
        <w:t>GS</w:t>
      </w:r>
      <w:r>
        <w:rPr>
          <w:rFonts w:cs="Times New Roman"/>
        </w:rPr>
        <w:t xml:space="preserve"> 347)</w:t>
      </w:r>
    </w:p>
    <w:p w14:paraId="5035B8B3" w14:textId="77777777" w:rsidR="004A15AD" w:rsidRDefault="004A15AD">
      <w:pPr>
        <w:ind w:left="720" w:right="720"/>
        <w:rPr>
          <w:rFonts w:cs="Times New Roman"/>
        </w:rPr>
      </w:pPr>
    </w:p>
    <w:p w14:paraId="37FB7AE7" w14:textId="77777777" w:rsidR="004A15AD" w:rsidRDefault="004A15AD">
      <w:pPr>
        <w:ind w:left="720" w:right="720"/>
        <w:rPr>
          <w:rFonts w:cs="Times New Roman"/>
        </w:rPr>
      </w:pPr>
      <w:r>
        <w:rPr>
          <w:rFonts w:cs="Times New Roman"/>
        </w:rPr>
        <w:t>Under peaceful conditions a warlike man sets upon himself. (</w:t>
      </w:r>
      <w:r>
        <w:rPr>
          <w:rFonts w:cs="Times New Roman"/>
          <w:i/>
          <w:iCs/>
        </w:rPr>
        <w:t>BGE</w:t>
      </w:r>
      <w:r>
        <w:rPr>
          <w:rFonts w:cs="Times New Roman"/>
        </w:rPr>
        <w:t xml:space="preserve"> 76)</w:t>
      </w:r>
    </w:p>
    <w:p w14:paraId="45A6BB85" w14:textId="77777777" w:rsidR="004A15AD" w:rsidRDefault="004A15AD">
      <w:pPr>
        <w:ind w:left="720" w:right="720"/>
        <w:rPr>
          <w:rFonts w:cs="Times New Roman"/>
        </w:rPr>
      </w:pPr>
    </w:p>
    <w:p w14:paraId="2874C1B9" w14:textId="77777777" w:rsidR="004A15AD" w:rsidRDefault="004A15AD">
      <w:pPr>
        <w:ind w:left="720" w:right="720"/>
        <w:rPr>
          <w:rFonts w:cs="Times New Roman"/>
        </w:rPr>
      </w:pPr>
      <w:r>
        <w:rPr>
          <w:rFonts w:cs="Times New Roman"/>
        </w:rPr>
        <w:t xml:space="preserve">One </w:t>
      </w:r>
      <w:r>
        <w:rPr>
          <w:rFonts w:cs="Times New Roman"/>
          <w:i/>
          <w:iCs/>
        </w:rPr>
        <w:t>has</w:t>
      </w:r>
      <w:r>
        <w:rPr>
          <w:rFonts w:cs="Times New Roman"/>
        </w:rPr>
        <w:t xml:space="preserve"> to repay good and ill – but why precisely to the one who has done us good or ill? (</w:t>
      </w:r>
      <w:r>
        <w:rPr>
          <w:rFonts w:cs="Times New Roman"/>
          <w:i/>
          <w:iCs/>
        </w:rPr>
        <w:t>BGE</w:t>
      </w:r>
      <w:r>
        <w:rPr>
          <w:rFonts w:cs="Times New Roman"/>
        </w:rPr>
        <w:t xml:space="preserve"> 159)</w:t>
      </w:r>
    </w:p>
    <w:p w14:paraId="223898F8" w14:textId="77777777" w:rsidR="004A15AD" w:rsidRDefault="004A15AD">
      <w:pPr>
        <w:ind w:left="720" w:right="720"/>
        <w:rPr>
          <w:rFonts w:cs="Times New Roman"/>
        </w:rPr>
      </w:pPr>
    </w:p>
    <w:p w14:paraId="705135DC" w14:textId="77777777" w:rsidR="004A15AD" w:rsidRDefault="004A15AD">
      <w:pPr>
        <w:ind w:left="720" w:right="720"/>
        <w:rPr>
          <w:rFonts w:cs="Times New Roman"/>
        </w:rPr>
      </w:pPr>
      <w:r>
        <w:rPr>
          <w:rFonts w:cs="Times New Roman"/>
        </w:rPr>
        <w:t xml:space="preserve">[The need for obedience] is now innate in the average man, as a kind of </w:t>
      </w:r>
      <w:r>
        <w:rPr>
          <w:rFonts w:cs="Times New Roman"/>
          <w:i/>
          <w:iCs/>
        </w:rPr>
        <w:t>formal conscience</w:t>
      </w:r>
      <w:r>
        <w:rPr>
          <w:rFonts w:cs="Times New Roman"/>
        </w:rPr>
        <w:t xml:space="preserve"> that commands: ‘thou shalt unconditionally do something, unconditionally not do something else,’ in short, ‘thou shalt.’ […] This need seeks to satisfy itself and to fill its form with some content.  According to its strength, impatience, and tension, it seizes upon things as a rude appetite, rather indiscriminately, and accepts whatever is shouted into its ears by someone who issues commands. (</w:t>
      </w:r>
      <w:r>
        <w:rPr>
          <w:rFonts w:cs="Times New Roman"/>
          <w:i/>
          <w:iCs/>
        </w:rPr>
        <w:t>BGE</w:t>
      </w:r>
      <w:r>
        <w:rPr>
          <w:rFonts w:cs="Times New Roman"/>
        </w:rPr>
        <w:t xml:space="preserve"> 199)</w:t>
      </w:r>
    </w:p>
    <w:p w14:paraId="768C3BF8" w14:textId="77777777" w:rsidR="004A15AD" w:rsidRDefault="004A15AD">
      <w:pPr>
        <w:ind w:left="720" w:right="720"/>
        <w:rPr>
          <w:rFonts w:cs="Times New Roman"/>
        </w:rPr>
      </w:pPr>
    </w:p>
    <w:p w14:paraId="7CE58D74" w14:textId="77777777" w:rsidR="004A15AD" w:rsidRDefault="004A15AD">
      <w:pPr>
        <w:ind w:left="720" w:right="720"/>
        <w:rPr>
          <w:rFonts w:cs="Times New Roman"/>
        </w:rPr>
      </w:pPr>
      <w:r>
        <w:rPr>
          <w:rFonts w:cs="Times New Roman"/>
        </w:rPr>
        <w:lastRenderedPageBreak/>
        <w:t xml:space="preserve">All instincts that do not discharge themselves outwardly </w:t>
      </w:r>
      <w:r>
        <w:rPr>
          <w:rFonts w:cs="Times New Roman"/>
          <w:i/>
          <w:iCs/>
        </w:rPr>
        <w:t>turn inward</w:t>
      </w:r>
      <w:r>
        <w:rPr>
          <w:rFonts w:cs="Times New Roman"/>
        </w:rPr>
        <w:t xml:space="preserve"> [against] their possessors. (</w:t>
      </w:r>
      <w:r>
        <w:rPr>
          <w:rFonts w:cs="Times New Roman"/>
          <w:i/>
          <w:iCs/>
        </w:rPr>
        <w:t>GM</w:t>
      </w:r>
      <w:r>
        <w:rPr>
          <w:rFonts w:cs="Times New Roman"/>
        </w:rPr>
        <w:t xml:space="preserve"> II:16)</w:t>
      </w:r>
    </w:p>
    <w:p w14:paraId="0D709ECB" w14:textId="77777777" w:rsidR="004A15AD" w:rsidRDefault="004A15AD">
      <w:pPr>
        <w:rPr>
          <w:rFonts w:cs="Times New Roman"/>
        </w:rPr>
      </w:pPr>
    </w:p>
    <w:p w14:paraId="34888AC4" w14:textId="77777777" w:rsidR="004A15AD" w:rsidRDefault="004A15AD">
      <w:pPr>
        <w:rPr>
          <w:rFonts w:cs="Times New Roman"/>
        </w:rPr>
      </w:pPr>
      <w:r>
        <w:rPr>
          <w:rFonts w:cs="Times New Roman"/>
        </w:rPr>
        <w:t>I do not have the space to argue here for the correctness of my interpretation, but I can point to Paul Katsafanas’s (2012, 2013a, 2013b, 2014) work on drives as requiring ever new objects on which to vent themselves, and to Bernard Reginster’s (2006) work on will-to-power as a second-order desire to overcome resistance, and which therefore makes one insatiable because it spins off ever new first-order desires.</w:t>
      </w:r>
      <w:r w:rsidR="00427A58">
        <w:rPr>
          <w:rFonts w:cs="Times New Roman"/>
        </w:rPr>
        <w:t xml:space="preserve">  In addition, the tenacity hypothesis bears striking similarities to Sigmund Freud’s conception of </w:t>
      </w:r>
      <w:r w:rsidR="00427A58">
        <w:rPr>
          <w:rFonts w:cs="Times New Roman"/>
          <w:i/>
        </w:rPr>
        <w:t>displacement</w:t>
      </w:r>
      <w:r w:rsidR="00427A58">
        <w:rPr>
          <w:rFonts w:cs="Times New Roman"/>
        </w:rPr>
        <w:t xml:space="preserve">, one of the so-called </w:t>
      </w:r>
      <w:r w:rsidR="00427A58">
        <w:rPr>
          <w:rFonts w:cs="Times New Roman"/>
          <w:i/>
        </w:rPr>
        <w:t>primary processes</w:t>
      </w:r>
      <w:r w:rsidR="00427A58">
        <w:rPr>
          <w:rFonts w:cs="Times New Roman"/>
        </w:rPr>
        <w:t xml:space="preserve"> (along with condensation, reaction-formation, and splitting) that explain the psycho-dynamics of dreams, neuroses, and other apparently irrational mental phenomena (Freud 1899 / 1998).</w:t>
      </w:r>
      <w:r w:rsidR="008C22B8">
        <w:rPr>
          <w:rStyle w:val="FootnoteReference"/>
        </w:rPr>
        <w:footnoteReference w:id="6"/>
      </w:r>
      <w:r>
        <w:rPr>
          <w:rFonts w:cs="Times New Roman"/>
        </w:rPr>
        <w:t xml:space="preserve"> </w:t>
      </w:r>
      <w:r w:rsidR="008C22B8">
        <w:rPr>
          <w:rFonts w:cs="Times New Roman"/>
        </w:rPr>
        <w:t xml:space="preserve"> Since it’s obvious that Freud ripped off but also developed further many of Nietzsche’s ideas, this similarity serves as corroborating evidence. </w:t>
      </w:r>
      <w:r>
        <w:rPr>
          <w:rFonts w:cs="Times New Roman"/>
        </w:rPr>
        <w:t xml:space="preserve"> I plan to develop these ideas further in my next monograph, </w:t>
      </w:r>
      <w:r>
        <w:rPr>
          <w:rFonts w:cs="Times New Roman"/>
          <w:i/>
          <w:iCs/>
        </w:rPr>
        <w:t>Nietzsche’s Socio-Moral Psychology</w:t>
      </w:r>
      <w:r>
        <w:rPr>
          <w:rFonts w:cs="Times New Roman"/>
        </w:rPr>
        <w:t xml:space="preserve"> (forthcoming b).</w:t>
      </w:r>
    </w:p>
    <w:p w14:paraId="754063CE" w14:textId="77777777" w:rsidR="004A15AD" w:rsidRDefault="004A15AD">
      <w:pPr>
        <w:rPr>
          <w:rFonts w:cs="Times New Roman"/>
        </w:rPr>
      </w:pPr>
    </w:p>
    <w:p w14:paraId="4241D789" w14:textId="77777777" w:rsidR="004A15AD" w:rsidRDefault="004A15AD">
      <w:pPr>
        <w:rPr>
          <w:rFonts w:cs="Times New Roman"/>
        </w:rPr>
      </w:pPr>
      <w:r>
        <w:rPr>
          <w:rFonts w:cs="Times New Roman"/>
        </w:rPr>
        <w:t xml:space="preserve">Some of the best contemporary evidence for something very like the tenacity of the intentional is due to Jon Haidt and his colleagues (Schnall, Haidt, Clore, &amp; Jordan 2006), who have found over and over again that when an affective attitude is induced in someone, that person becomes much more likely to take up and to express the same type of attitude towards some other object.  Disgust, for instance, is especially promiscuous.  People in whom disgust has been elicited (by the surreptitious use of “fart spray” or by having them sit at a desk on which a used tissue has been discarded, etc.) are significantly more likely to feel disgusted by morally questionable behavior.  What seems to happen is that they transfer their attitude of disgust from its initial target onto whatever is ready-to-hand – in these experiments, other people.  The man who farted, the woman who left the used tissue on the desk, the ostensible target of the affect of disgust – these are unavailable, so the affect is instead discharged on whatever is available at the moment.  </w:t>
      </w:r>
    </w:p>
    <w:p w14:paraId="72F68CCA" w14:textId="77777777" w:rsidR="004A15AD" w:rsidRDefault="004A15AD">
      <w:pPr>
        <w:rPr>
          <w:rFonts w:cs="Times New Roman"/>
        </w:rPr>
      </w:pPr>
    </w:p>
    <w:p w14:paraId="77842268" w14:textId="77777777" w:rsidR="004A15AD" w:rsidRDefault="004A15AD">
      <w:pPr>
        <w:rPr>
          <w:rFonts w:cs="Times New Roman"/>
        </w:rPr>
      </w:pPr>
      <w:r>
        <w:rPr>
          <w:rFonts w:cs="Times New Roman"/>
        </w:rPr>
        <w:t>Another telling piece of evidence for the tenacity of the intentional is a disturbing study by Dan Ariely (2008), who found that male participants were significantly more likely to say that they would engage in a variety of disgusting, illegal, and immoral activities while they were masturbating to a pornographic movie than while they were in a “cold” state.  Questions included:</w:t>
      </w:r>
    </w:p>
    <w:p w14:paraId="2328E7E5" w14:textId="77777777" w:rsidR="004A15AD" w:rsidRDefault="004A15AD">
      <w:pPr>
        <w:rPr>
          <w:rFonts w:cs="Times New Roman"/>
        </w:rPr>
      </w:pPr>
    </w:p>
    <w:p w14:paraId="7354F642" w14:textId="77777777" w:rsidR="004A15AD" w:rsidRDefault="004A15AD">
      <w:pPr>
        <w:pStyle w:val="ListParagraph"/>
        <w:numPr>
          <w:ilvl w:val="0"/>
          <w:numId w:val="2"/>
          <w:numberingChange w:id="0" w:author="XXX XXX" w:date="2014-11-30T12:18:00Z" w:original=""/>
        </w:numPr>
        <w:rPr>
          <w:rFonts w:cs="Times New Roman"/>
        </w:rPr>
      </w:pPr>
      <w:r>
        <w:rPr>
          <w:rFonts w:cs="Times New Roman"/>
        </w:rPr>
        <w:lastRenderedPageBreak/>
        <w:t>Can you imagine being attracted to a 12-year-old girl?</w:t>
      </w:r>
    </w:p>
    <w:p w14:paraId="1D78396A" w14:textId="77777777" w:rsidR="004A15AD" w:rsidRDefault="004A15AD">
      <w:pPr>
        <w:pStyle w:val="ListParagraph"/>
        <w:numPr>
          <w:ilvl w:val="0"/>
          <w:numId w:val="2"/>
          <w:numberingChange w:id="1" w:author="XXX XXX" w:date="2014-11-30T12:18:00Z" w:original=""/>
        </w:numPr>
        <w:rPr>
          <w:rFonts w:cs="Times New Roman"/>
        </w:rPr>
      </w:pPr>
      <w:r>
        <w:rPr>
          <w:rFonts w:cs="Times New Roman"/>
        </w:rPr>
        <w:t>Could it be fun to have sex with someone who is extremely fat?</w:t>
      </w:r>
    </w:p>
    <w:p w14:paraId="283F5FAA" w14:textId="77777777" w:rsidR="004A15AD" w:rsidRDefault="004A15AD">
      <w:pPr>
        <w:pStyle w:val="ListParagraph"/>
        <w:numPr>
          <w:ilvl w:val="0"/>
          <w:numId w:val="2"/>
          <w:numberingChange w:id="2" w:author="XXX XXX" w:date="2014-11-30T12:18:00Z" w:original=""/>
        </w:numPr>
        <w:rPr>
          <w:rFonts w:cs="Times New Roman"/>
        </w:rPr>
      </w:pPr>
      <w:r>
        <w:rPr>
          <w:rFonts w:cs="Times New Roman"/>
        </w:rPr>
        <w:t>Could you enjoy sex with someone you hated?</w:t>
      </w:r>
    </w:p>
    <w:p w14:paraId="2245D387" w14:textId="77777777" w:rsidR="004A15AD" w:rsidRDefault="004A15AD">
      <w:pPr>
        <w:pStyle w:val="ListParagraph"/>
        <w:numPr>
          <w:ilvl w:val="0"/>
          <w:numId w:val="2"/>
          <w:numberingChange w:id="3" w:author="XXX XXX" w:date="2014-11-30T12:18:00Z" w:original=""/>
        </w:numPr>
        <w:rPr>
          <w:rFonts w:cs="Times New Roman"/>
        </w:rPr>
      </w:pPr>
      <w:r>
        <w:rPr>
          <w:rFonts w:cs="Times New Roman"/>
        </w:rPr>
        <w:t>Can you imagine getting sexually excited by contact with an animal?</w:t>
      </w:r>
    </w:p>
    <w:p w14:paraId="6BD0A28E" w14:textId="77777777" w:rsidR="004A15AD" w:rsidRDefault="004A15AD">
      <w:pPr>
        <w:pStyle w:val="ListParagraph"/>
        <w:numPr>
          <w:ilvl w:val="0"/>
          <w:numId w:val="2"/>
          <w:numberingChange w:id="4" w:author="XXX XXX" w:date="2014-11-30T12:18:00Z" w:original=""/>
        </w:numPr>
        <w:rPr>
          <w:rFonts w:cs="Times New Roman"/>
        </w:rPr>
      </w:pPr>
      <w:r>
        <w:rPr>
          <w:rFonts w:cs="Times New Roman"/>
        </w:rPr>
        <w:t>Would you slip a woman a drug to increase the chance that she would have sex with you?</w:t>
      </w:r>
    </w:p>
    <w:p w14:paraId="3DF90A7C" w14:textId="77777777" w:rsidR="004A15AD" w:rsidRDefault="004A15AD">
      <w:pPr>
        <w:rPr>
          <w:rFonts w:cs="Times New Roman"/>
        </w:rPr>
      </w:pPr>
    </w:p>
    <w:p w14:paraId="16141C47" w14:textId="77777777" w:rsidR="004A15AD" w:rsidRDefault="004A15AD">
      <w:pPr>
        <w:rPr>
          <w:rFonts w:cs="Times New Roman"/>
        </w:rPr>
      </w:pPr>
      <w:r>
        <w:rPr>
          <w:rFonts w:cs="Times New Roman"/>
        </w:rPr>
        <w:t>As with Haidt’s experiments, one plausible interpretation of this study is that sexual desire evolves in accordance with the tenacity hypothesis: since the object of desire for someone masturbating to a video is unavailable, his lust finds a new object – even if that object would otherwise be unattractive or repellant.</w:t>
      </w:r>
      <w:r>
        <w:rPr>
          <w:rStyle w:val="FootnoteReference"/>
        </w:rPr>
        <w:footnoteReference w:id="7"/>
      </w:r>
    </w:p>
    <w:p w14:paraId="1C8D927B" w14:textId="77777777" w:rsidR="004A15AD" w:rsidRDefault="004A15AD">
      <w:pPr>
        <w:rPr>
          <w:rFonts w:cs="Times New Roman"/>
        </w:rPr>
      </w:pPr>
    </w:p>
    <w:p w14:paraId="7E39457B" w14:textId="77777777" w:rsidR="004A15AD" w:rsidRDefault="004A15AD">
      <w:pPr>
        <w:rPr>
          <w:rFonts w:cs="Times New Roman"/>
        </w:rPr>
      </w:pPr>
      <w:r>
        <w:rPr>
          <w:rFonts w:cs="Times New Roman"/>
        </w:rPr>
        <w:t xml:space="preserve">Suppose for the moment that Nietzsche does endorse the tenacity hypothesis, and that this hypothesis or something like it is supported by the empirical psychology I’ve just mentioned.  What explains the truth of the tenacity hypothesis?  The answer, I think, depends on the fact that humans are embodied cognitive-affective systems.  To harbor a given disposition, to experience a given emotion, to be filled with a given affect – these are bodily states.  They are states that take intentional objects, to be sure, but the bodily characteristics of someone who loves </w:t>
      </w:r>
      <w:r>
        <w:rPr>
          <w:rFonts w:cs="Times New Roman"/>
          <w:i/>
          <w:iCs/>
        </w:rPr>
        <w:t>x</w:t>
      </w:r>
      <w:r>
        <w:rPr>
          <w:rFonts w:cs="Times New Roman"/>
        </w:rPr>
        <w:t xml:space="preserve"> and someone who loves </w:t>
      </w:r>
      <w:r>
        <w:rPr>
          <w:rFonts w:cs="Times New Roman"/>
          <w:i/>
          <w:iCs/>
        </w:rPr>
        <w:t>y</w:t>
      </w:r>
      <w:r>
        <w:rPr>
          <w:rFonts w:cs="Times New Roman"/>
        </w:rPr>
        <w:t xml:space="preserve"> differ much less than the bodily characteristics of someone who loves </w:t>
      </w:r>
      <w:r>
        <w:rPr>
          <w:rFonts w:cs="Times New Roman"/>
          <w:i/>
          <w:iCs/>
        </w:rPr>
        <w:t>x</w:t>
      </w:r>
      <w:r>
        <w:rPr>
          <w:rFonts w:cs="Times New Roman"/>
        </w:rPr>
        <w:t xml:space="preserve"> and someone who does not love anything.  When the object of an intentional state becomes unavailable, a new one is often found to fill the gap.  It’s for this reason, I think, that when someone is in an affective state with a given intentional object, but is unable to express that state towards the object, a new object – any object – is typically found.</w:t>
      </w:r>
    </w:p>
    <w:p w14:paraId="762B86DA" w14:textId="77777777" w:rsidR="004A15AD" w:rsidRDefault="004A15AD">
      <w:pPr>
        <w:rPr>
          <w:rFonts w:cs="Times New Roman"/>
        </w:rPr>
      </w:pPr>
    </w:p>
    <w:p w14:paraId="7EE14D1B" w14:textId="77777777" w:rsidR="004A15AD" w:rsidRDefault="004A15AD">
      <w:pPr>
        <w:rPr>
          <w:rFonts w:cs="Times New Roman"/>
          <w:u w:val="single"/>
        </w:rPr>
      </w:pPr>
      <w:r>
        <w:rPr>
          <w:rFonts w:cs="Times New Roman"/>
          <w:u w:val="single"/>
        </w:rPr>
        <w:t>2.2.2 The Socratic equation</w:t>
      </w:r>
    </w:p>
    <w:p w14:paraId="24580503" w14:textId="77777777" w:rsidR="004A15AD" w:rsidRDefault="004A15AD">
      <w:pPr>
        <w:rPr>
          <w:rFonts w:cs="Times New Roman"/>
        </w:rPr>
      </w:pPr>
    </w:p>
    <w:p w14:paraId="5FC515D6" w14:textId="77777777" w:rsidR="004A15AD" w:rsidRDefault="004A15AD">
      <w:pPr>
        <w:rPr>
          <w:rFonts w:cs="Times New Roman"/>
        </w:rPr>
      </w:pPr>
      <w:r>
        <w:rPr>
          <w:rFonts w:cs="Times New Roman"/>
        </w:rPr>
        <w:t>Another manifestation of the primacy of affect is what Nietzsche sometimes calls the “Socratic equation of reason = virtue = happiness” (</w:t>
      </w:r>
      <w:r>
        <w:rPr>
          <w:rFonts w:cs="Times New Roman"/>
          <w:i/>
          <w:iCs/>
        </w:rPr>
        <w:t>TI</w:t>
      </w:r>
      <w:r>
        <w:rPr>
          <w:rFonts w:cs="Times New Roman"/>
        </w:rPr>
        <w:t xml:space="preserve"> Socrates 4, 10; </w:t>
      </w:r>
      <w:r>
        <w:rPr>
          <w:rFonts w:cs="Times New Roman"/>
          <w:i/>
          <w:iCs/>
        </w:rPr>
        <w:t>WP</w:t>
      </w:r>
      <w:r>
        <w:rPr>
          <w:rFonts w:cs="Times New Roman"/>
        </w:rPr>
        <w:t xml:space="preserve"> 2:432-3, 437).  As with many things Nietzsche says, it’s not absolutely clear what he means, but I understand his denunciation of the Socratic equation as a rejection of the idea that all values point in the same direction.  Nietzsche finds it preposterous to think that if something is intellectually valuable, then it is morally, prudentially, and aesthetically valuable; he finds it preposterous to think that if something is morally valuable, then it is prudentially and aesthetically valuable.  And so on.</w:t>
      </w:r>
    </w:p>
    <w:p w14:paraId="26E3931A" w14:textId="77777777" w:rsidR="004A15AD" w:rsidRDefault="004A15AD">
      <w:pPr>
        <w:rPr>
          <w:rFonts w:cs="Times New Roman"/>
        </w:rPr>
      </w:pPr>
    </w:p>
    <w:p w14:paraId="038F168E" w14:textId="77777777" w:rsidR="004A15AD" w:rsidRDefault="004A15AD">
      <w:pPr>
        <w:rPr>
          <w:rFonts w:cs="Times New Roman"/>
        </w:rPr>
      </w:pPr>
      <w:r>
        <w:rPr>
          <w:rFonts w:cs="Times New Roman"/>
        </w:rPr>
        <w:t>There are two, interconnected strands to this idea.  The first is this: when someone has a positive (negative) affective attitude towards some property of an object, she will tend to experience positive (negative) affective attitudes towards other properties of that same object, even if these latter attitudes are unwarranted.  If something is seen as good in some way (e.g., it is virtuous), it tends to be seen as good in all ways (e.g., it produces happiness); if something is seen as bad in some way (e.g., it is unreasonable), it tends to be seen as bad in all ways (e.g., it is vicious).  As Keats put it, “’Beauty is truth, truth beauty,’ – that is all / Ye know on earth, and all ye need to know.”  Holding constant the valence of properties, attribution of a positive (negative) property induces attribution of further positive (negative) properties.</w:t>
      </w:r>
    </w:p>
    <w:p w14:paraId="2360EB5A" w14:textId="77777777" w:rsidR="004A15AD" w:rsidRDefault="004A15AD">
      <w:pPr>
        <w:rPr>
          <w:rFonts w:cs="Times New Roman"/>
        </w:rPr>
      </w:pPr>
    </w:p>
    <w:p w14:paraId="5831A426" w14:textId="77777777" w:rsidR="004A15AD" w:rsidRDefault="004A15AD">
      <w:pPr>
        <w:rPr>
          <w:rFonts w:cs="Times New Roman"/>
        </w:rPr>
      </w:pPr>
      <w:r>
        <w:rPr>
          <w:rFonts w:cs="Times New Roman"/>
        </w:rPr>
        <w:lastRenderedPageBreak/>
        <w:t xml:space="preserve">The second strand of the Socratic equation is this: when two properties are (perceived to be) co-instantiated, and one has a clear valence, the other will tend to be seen as having the same valence.  If </w:t>
      </w:r>
      <w:r>
        <w:rPr>
          <w:rFonts w:cs="Times New Roman"/>
          <w:i/>
          <w:iCs/>
        </w:rPr>
        <w:t>x</w:t>
      </w:r>
      <w:r>
        <w:rPr>
          <w:rFonts w:cs="Times New Roman"/>
        </w:rPr>
        <w:t xml:space="preserve"> is </w:t>
      </w:r>
      <w:r>
        <w:rPr>
          <w:rFonts w:cs="Times New Roman"/>
          <w:i/>
          <w:iCs/>
        </w:rPr>
        <w:t>F</w:t>
      </w:r>
      <w:r>
        <w:rPr>
          <w:rFonts w:cs="Times New Roman"/>
        </w:rPr>
        <w:t xml:space="preserve"> and </w:t>
      </w:r>
      <w:r>
        <w:rPr>
          <w:rFonts w:cs="Times New Roman"/>
          <w:i/>
          <w:iCs/>
        </w:rPr>
        <w:t>G</w:t>
      </w:r>
      <w:r>
        <w:rPr>
          <w:rFonts w:cs="Times New Roman"/>
        </w:rPr>
        <w:t xml:space="preserve">, and </w:t>
      </w:r>
      <w:r>
        <w:rPr>
          <w:rFonts w:cs="Times New Roman"/>
          <w:i/>
          <w:iCs/>
        </w:rPr>
        <w:t>F</w:t>
      </w:r>
      <w:r>
        <w:rPr>
          <w:rFonts w:cs="Times New Roman"/>
        </w:rPr>
        <w:t xml:space="preserve"> is seen as good (bad), then </w:t>
      </w:r>
      <w:r>
        <w:rPr>
          <w:rFonts w:cs="Times New Roman"/>
          <w:i/>
          <w:iCs/>
        </w:rPr>
        <w:t>G</w:t>
      </w:r>
      <w:r>
        <w:rPr>
          <w:rFonts w:cs="Times New Roman"/>
        </w:rPr>
        <w:t xml:space="preserve"> will tend to be seen as good (bad) as well.</w:t>
      </w:r>
    </w:p>
    <w:p w14:paraId="03733873" w14:textId="77777777" w:rsidR="004A15AD" w:rsidRDefault="004A15AD">
      <w:pPr>
        <w:rPr>
          <w:rFonts w:cs="Times New Roman"/>
        </w:rPr>
      </w:pPr>
    </w:p>
    <w:p w14:paraId="764943CE" w14:textId="77777777" w:rsidR="004A15AD" w:rsidRDefault="004A15AD">
      <w:pPr>
        <w:rPr>
          <w:rFonts w:cs="Times New Roman"/>
        </w:rPr>
      </w:pPr>
      <w:r>
        <w:rPr>
          <w:rFonts w:cs="Times New Roman"/>
        </w:rPr>
        <w:t>Nietzsche recognizes, of course, that the Socratic equation is indefensible, but he thinks that it has infected humanity.  For him, the ability to harbor ambivalence – even deep ambivalence – is a mark of nobility and objectivity (</w:t>
      </w:r>
      <w:r>
        <w:rPr>
          <w:rFonts w:cs="Times New Roman"/>
          <w:i/>
          <w:iCs/>
        </w:rPr>
        <w:t>BGE</w:t>
      </w:r>
      <w:r>
        <w:rPr>
          <w:rFonts w:cs="Times New Roman"/>
        </w:rPr>
        <w:t xml:space="preserve"> 283-4, </w:t>
      </w:r>
      <w:r>
        <w:rPr>
          <w:rFonts w:cs="Times New Roman"/>
          <w:i/>
          <w:iCs/>
        </w:rPr>
        <w:t>GM</w:t>
      </w:r>
      <w:r>
        <w:rPr>
          <w:rFonts w:cs="Times New Roman"/>
        </w:rPr>
        <w:t xml:space="preserve"> III:12).</w:t>
      </w:r>
      <w:r>
        <w:rPr>
          <w:rStyle w:val="FootnoteReference"/>
        </w:rPr>
        <w:footnoteReference w:id="8"/>
      </w:r>
      <w:r>
        <w:rPr>
          <w:rFonts w:cs="Times New Roman"/>
        </w:rPr>
        <w:t xml:space="preserve">  The “Tartuffery of morals” (</w:t>
      </w:r>
      <w:r>
        <w:rPr>
          <w:rFonts w:cs="Times New Roman"/>
          <w:i/>
          <w:iCs/>
        </w:rPr>
        <w:t>BGE</w:t>
      </w:r>
      <w:r>
        <w:rPr>
          <w:rFonts w:cs="Times New Roman"/>
        </w:rPr>
        <w:t xml:space="preserve"> 24) demands that everything be simplified, that objects of desire also be objects of admiration, love, and respect, that objects of aversion also be objects of contempt, resentment, and scorn.  Against this, Nietzsche holds that, for the most part, values are multiple, disjoint, even opposed.</w:t>
      </w:r>
    </w:p>
    <w:p w14:paraId="73BB203B" w14:textId="77777777" w:rsidR="004A15AD" w:rsidRDefault="004A15AD">
      <w:pPr>
        <w:tabs>
          <w:tab w:val="left" w:pos="8597"/>
        </w:tabs>
        <w:rPr>
          <w:rFonts w:cs="Times New Roman"/>
        </w:rPr>
      </w:pPr>
    </w:p>
    <w:p w14:paraId="6CD074F0" w14:textId="77777777" w:rsidR="004A15AD" w:rsidRDefault="004A15AD">
      <w:pPr>
        <w:rPr>
          <w:rFonts w:cs="Times New Roman"/>
        </w:rPr>
      </w:pPr>
      <w:r>
        <w:rPr>
          <w:rFonts w:cs="Times New Roman"/>
        </w:rPr>
        <w:t>Empirical support for the tendency to fall for the Socratic equation derives from work on the so-called affect heuristic.  The affect heuristic was discovered by Paul Slovic and his colleagues, and refers to the tendency of an affective attitude towards one aspect of an object to spill over onto other aspects of the object.  For instance, if people’s “feelings toward an activity,” such as using pesticides, “are favorable, they tend to judge the risks as low and the benefits as high; if their feelings toward the activity are unfavorable, they tend to make the opposite judgment – high risk and low benefit” (Finucane, Alhakami, Slovic, &amp; Johnson 2000; see also Alhakami &amp; Slovic 1994).  In the real world, risk and reward are positively correlated; when people use the affect heuristic, they treat them as if they were negatively correlated.  And it’s very hard to avoid using the affect heuristic because affective responses are often automatic, occurring prior to cognitive appraisal (Zajonc 1984).</w:t>
      </w:r>
    </w:p>
    <w:p w14:paraId="1422FE9F" w14:textId="77777777" w:rsidR="004A15AD" w:rsidRDefault="004A15AD">
      <w:pPr>
        <w:rPr>
          <w:rFonts w:cs="Times New Roman"/>
        </w:rPr>
      </w:pPr>
    </w:p>
    <w:p w14:paraId="1D8ECEBD" w14:textId="77777777" w:rsidR="004A15AD" w:rsidRDefault="004A15AD">
      <w:pPr>
        <w:rPr>
          <w:rFonts w:cs="Times New Roman"/>
        </w:rPr>
      </w:pPr>
      <w:r>
        <w:rPr>
          <w:rFonts w:cs="Times New Roman"/>
        </w:rPr>
        <w:t>A closely related phenomenon – the halo effect (Thorndike 1920) – occurs when someone who is seen as having one positive characteristic (e.g., beauty) is automatically seen as having other positive characteristics (e.g., intelligence).  And the opposite can also occur (Nisbett &amp; Wilson 1977): when someone who is seen as having one negative characteristic (e.g., emotional coldness), he is automatically seen as having other negative characteristics (e.g., irritating mannerisms).  The same processes occur at the level of groups, rather than individuals.  Social stereotypes have a kind of affective magnetism that trumps the beliefs people have about the members of groups.  Indeed, emotions are better predictors of stereotyping discrimination than beliefs (Talaska, Fiske, &amp; Chaiken 2008).</w:t>
      </w:r>
    </w:p>
    <w:p w14:paraId="0A9DEC40" w14:textId="77777777" w:rsidR="004A15AD" w:rsidRDefault="004A15AD">
      <w:pPr>
        <w:rPr>
          <w:rFonts w:cs="Times New Roman"/>
        </w:rPr>
      </w:pPr>
    </w:p>
    <w:p w14:paraId="677D0094" w14:textId="77777777" w:rsidR="004A15AD" w:rsidRDefault="004A15AD">
      <w:pPr>
        <w:rPr>
          <w:rFonts w:cs="Times New Roman"/>
          <w:i/>
          <w:iCs/>
        </w:rPr>
      </w:pPr>
      <w:r>
        <w:rPr>
          <w:rFonts w:cs="Times New Roman"/>
        </w:rPr>
        <w:t xml:space="preserve">As with the tenacity of the intentional, the Socratic equation is deeply rooted our embodied nature.  People use affect as information (Damasio 1994; Slovic, Finucane, Peters, &amp; MacGregor 2002).  In evaluating the properties of an object, person, or group, felt affective valence often trumps cognitive processes.  Because emotions and affects are states of the body, they may </w:t>
      </w:r>
      <w:r>
        <w:rPr>
          <w:rFonts w:cs="Times New Roman"/>
        </w:rPr>
        <w:lastRenderedPageBreak/>
        <w:t xml:space="preserve">differentially tend to trigger one another.  For instance the embodied state of disgust is more similar to the embodied state of horror than it is to the embodied state of elevation.  If you feel disgust towards </w:t>
      </w:r>
      <w:r>
        <w:rPr>
          <w:rFonts w:cs="Times New Roman"/>
          <w:i/>
          <w:iCs/>
        </w:rPr>
        <w:t>x</w:t>
      </w:r>
      <w:r>
        <w:rPr>
          <w:rFonts w:cs="Times New Roman"/>
        </w:rPr>
        <w:t xml:space="preserve">, it will be easier to transition to a state where you also feel horror at </w:t>
      </w:r>
      <w:r>
        <w:rPr>
          <w:rFonts w:cs="Times New Roman"/>
          <w:i/>
          <w:iCs/>
        </w:rPr>
        <w:t>x</w:t>
      </w:r>
      <w:r>
        <w:rPr>
          <w:rFonts w:cs="Times New Roman"/>
        </w:rPr>
        <w:t xml:space="preserve"> than to a state where you feel awe at </w:t>
      </w:r>
      <w:r>
        <w:rPr>
          <w:rFonts w:cs="Times New Roman"/>
          <w:i/>
          <w:iCs/>
        </w:rPr>
        <w:t>x</w:t>
      </w:r>
      <w:r>
        <w:rPr>
          <w:rFonts w:cs="Times New Roman"/>
        </w:rPr>
        <w:t>.  If you feel admiration for one element of the Socratic equation, you’ll more easily feel admiration for other elements of the Socratic equation.</w:t>
      </w:r>
    </w:p>
    <w:p w14:paraId="418C29D9" w14:textId="77777777" w:rsidR="004A15AD" w:rsidRDefault="004A15AD">
      <w:pPr>
        <w:rPr>
          <w:rFonts w:cs="Times New Roman"/>
          <w:i/>
          <w:iCs/>
        </w:rPr>
      </w:pPr>
    </w:p>
    <w:p w14:paraId="392E3BE1" w14:textId="77777777" w:rsidR="004A15AD" w:rsidRDefault="004A15AD">
      <w:pPr>
        <w:rPr>
          <w:rFonts w:cs="Times New Roman"/>
          <w:i/>
          <w:iCs/>
        </w:rPr>
      </w:pPr>
      <w:r>
        <w:rPr>
          <w:rFonts w:cs="Times New Roman"/>
          <w:i/>
          <w:iCs/>
        </w:rPr>
        <w:t>2.3 The social construction of character</w:t>
      </w:r>
    </w:p>
    <w:p w14:paraId="3DBBFC9B" w14:textId="77777777" w:rsidR="004A15AD" w:rsidRDefault="004A15AD">
      <w:pPr>
        <w:rPr>
          <w:rFonts w:cs="Times New Roman"/>
        </w:rPr>
      </w:pPr>
    </w:p>
    <w:p w14:paraId="6FD6A64A" w14:textId="77777777" w:rsidR="004A15AD" w:rsidRDefault="004A15AD">
      <w:pPr>
        <w:rPr>
          <w:rFonts w:cs="Times New Roman"/>
        </w:rPr>
      </w:pPr>
      <w:r>
        <w:rPr>
          <w:rFonts w:cs="Times New Roman"/>
        </w:rPr>
        <w:t>The third and final Nietzschean insight that I’d like to discuss is the social construction of character.  This view of character development presupposes broad diversity within the extensions of trait terms, and depends on the dual direction-of-fit of character trait attributions – both surprising phenomena that Nietzsche diagnosed.  In this, I am somewhat in disagreement with the only other published defense of the empirical credentials of Nietzsche’s moral psychology (Knobe &amp; Leiter 2007), which I use here as a stalking horse.</w:t>
      </w:r>
    </w:p>
    <w:p w14:paraId="18B658E0" w14:textId="77777777" w:rsidR="004A15AD" w:rsidRDefault="004A15AD">
      <w:pPr>
        <w:rPr>
          <w:rFonts w:cs="Times New Roman"/>
        </w:rPr>
      </w:pPr>
    </w:p>
    <w:p w14:paraId="267C43BF" w14:textId="77777777" w:rsidR="004A15AD" w:rsidRDefault="004A15AD">
      <w:pPr>
        <w:rPr>
          <w:rFonts w:cs="Times New Roman"/>
        </w:rPr>
      </w:pPr>
      <w:r>
        <w:rPr>
          <w:rFonts w:cs="Times New Roman"/>
        </w:rPr>
        <w:t xml:space="preserve">According to Leiter, Nietzsche accepts the “doctrine of types,” according to which “Each person has a fixed psycho-physical constitution, which defines him as a particular </w:t>
      </w:r>
      <w:r>
        <w:rPr>
          <w:rFonts w:cs="Times New Roman"/>
          <w:i/>
          <w:iCs/>
        </w:rPr>
        <w:t>type</w:t>
      </w:r>
      <w:r>
        <w:rPr>
          <w:rFonts w:cs="Times New Roman"/>
        </w:rPr>
        <w:t xml:space="preserve"> of person” (2002, p. 8).  These type-facts are meant to be “</w:t>
      </w:r>
      <w:r>
        <w:rPr>
          <w:rFonts w:cs="Times New Roman"/>
          <w:i/>
          <w:iCs/>
        </w:rPr>
        <w:t xml:space="preserve">physiological </w:t>
      </w:r>
      <w:r>
        <w:rPr>
          <w:rFonts w:cs="Times New Roman"/>
        </w:rPr>
        <w:t xml:space="preserve">facts about the person, or facts about the person’s unconscious drives or affects” (Knobe &amp; Leiter 2007), and they largely determine both what a person </w:t>
      </w:r>
      <w:r>
        <w:rPr>
          <w:rFonts w:cs="Times New Roman"/>
          <w:i/>
          <w:iCs/>
        </w:rPr>
        <w:t>can</w:t>
      </w:r>
      <w:r>
        <w:rPr>
          <w:rFonts w:cs="Times New Roman"/>
        </w:rPr>
        <w:t xml:space="preserve"> do and what a person </w:t>
      </w:r>
      <w:r>
        <w:rPr>
          <w:rFonts w:cs="Times New Roman"/>
          <w:i/>
          <w:iCs/>
        </w:rPr>
        <w:t>should</w:t>
      </w:r>
      <w:r>
        <w:rPr>
          <w:rFonts w:cs="Times New Roman"/>
        </w:rPr>
        <w:t xml:space="preserve"> do from the point of view of his own well-being.  To support this interpretation, Knobe and Leiter cite Nietzsche’s claim that a</w:t>
      </w:r>
    </w:p>
    <w:p w14:paraId="083FBCF9" w14:textId="77777777" w:rsidR="004A15AD" w:rsidRDefault="004A15AD">
      <w:pPr>
        <w:rPr>
          <w:rFonts w:cs="Times New Roman"/>
        </w:rPr>
      </w:pPr>
    </w:p>
    <w:p w14:paraId="104153FB" w14:textId="77777777" w:rsidR="004A15AD" w:rsidRDefault="004A15AD">
      <w:pPr>
        <w:ind w:left="720" w:right="720"/>
        <w:rPr>
          <w:rFonts w:cs="Times New Roman"/>
        </w:rPr>
      </w:pPr>
      <w:r>
        <w:rPr>
          <w:rFonts w:cs="Times New Roman"/>
        </w:rPr>
        <w:t xml:space="preserve">well-turned out human being […] </w:t>
      </w:r>
      <w:r>
        <w:rPr>
          <w:rFonts w:cs="Times New Roman"/>
          <w:i/>
          <w:iCs/>
        </w:rPr>
        <w:t>must</w:t>
      </w:r>
      <w:r>
        <w:rPr>
          <w:rFonts w:cs="Times New Roman"/>
        </w:rPr>
        <w:t xml:space="preserve"> perform certain actions and shrinks instinctively from other actions; he carries the order, which he represents physiologically, into his relations with other human beings and things. (TI “Errors” 2)</w:t>
      </w:r>
    </w:p>
    <w:p w14:paraId="353F8E83" w14:textId="77777777" w:rsidR="004A15AD" w:rsidRDefault="004A15AD">
      <w:pPr>
        <w:rPr>
          <w:rFonts w:cs="Times New Roman"/>
        </w:rPr>
      </w:pPr>
    </w:p>
    <w:p w14:paraId="624B189F" w14:textId="77777777" w:rsidR="004A15AD" w:rsidRDefault="004A15AD">
      <w:pPr>
        <w:rPr>
          <w:rFonts w:cs="Times New Roman"/>
        </w:rPr>
      </w:pPr>
      <w:r>
        <w:rPr>
          <w:rFonts w:cs="Times New Roman"/>
        </w:rPr>
        <w:t xml:space="preserve">Furthermore, they claim that, according to Nietzsche, type facts “radically circumscribe possible developmental trajectories,” but that they do not “determine </w:t>
      </w:r>
      <w:r>
        <w:rPr>
          <w:rFonts w:cs="Times New Roman"/>
          <w:i/>
          <w:iCs/>
        </w:rPr>
        <w:t>everything</w:t>
      </w:r>
      <w:r>
        <w:rPr>
          <w:rFonts w:cs="Times New Roman"/>
        </w:rPr>
        <w:t>.”  Much of the remainder is determined by the “</w:t>
      </w:r>
      <w:r>
        <w:rPr>
          <w:rFonts w:cs="Times New Roman"/>
          <w:i/>
          <w:iCs/>
        </w:rPr>
        <w:t xml:space="preserve">moral </w:t>
      </w:r>
      <w:r>
        <w:rPr>
          <w:rFonts w:cs="Times New Roman"/>
        </w:rPr>
        <w:t>environment.”  My view focuses on this other aspect of character development, which I think receives short shrift from Knobe and Leiter.</w:t>
      </w:r>
      <w:r>
        <w:rPr>
          <w:rStyle w:val="FootnoteReference"/>
        </w:rPr>
        <w:footnoteReference w:id="9"/>
      </w:r>
    </w:p>
    <w:p w14:paraId="75FC6E37" w14:textId="77777777" w:rsidR="004A15AD" w:rsidRDefault="004A15AD">
      <w:pPr>
        <w:rPr>
          <w:rFonts w:cs="Times New Roman"/>
        </w:rPr>
      </w:pPr>
    </w:p>
    <w:p w14:paraId="701D27BE" w14:textId="77777777" w:rsidR="004A15AD" w:rsidRDefault="004A15AD">
      <w:pPr>
        <w:rPr>
          <w:rFonts w:cs="Times New Roman"/>
        </w:rPr>
      </w:pPr>
      <w:r>
        <w:rPr>
          <w:rFonts w:cs="Times New Roman"/>
        </w:rPr>
        <w:t>How does the moral environment partially determine a person’s character?  How does one become what one is?  The answer is manifold, of course, but I want to concentrate on what I take to be Nietzsche’s novel insight: one becomes what one is by becoming what one is called.  There is a feedback loop connecting character trait attributions and traits themselves.  The dispositions a person ends up with are the ones that she is taken to have – either by herself, if she exhibits an active, masterly, creative tendency, or by others, if she exhibits a reactive, slavish, mimetic tendency.  Someone who thinks she is honest will tend to behave in honest ways; someone whom others consider dishonest will tend to behave in dishonest ways.  This view can be found throughout Nietzsche’s writings, but especially in the following passages:</w:t>
      </w:r>
    </w:p>
    <w:p w14:paraId="298A964A" w14:textId="77777777" w:rsidR="004A15AD" w:rsidRDefault="004A15AD">
      <w:pPr>
        <w:rPr>
          <w:rFonts w:cs="Times New Roman"/>
        </w:rPr>
      </w:pPr>
    </w:p>
    <w:p w14:paraId="44B46EDF" w14:textId="77777777" w:rsidR="004A15AD" w:rsidRDefault="004A15AD">
      <w:pPr>
        <w:ind w:left="720" w:right="720"/>
        <w:rPr>
          <w:rFonts w:cs="Times New Roman"/>
        </w:rPr>
      </w:pPr>
      <w:r>
        <w:rPr>
          <w:rFonts w:cs="Times New Roman"/>
        </w:rPr>
        <w:lastRenderedPageBreak/>
        <w:t xml:space="preserve">If someone obstinately and for a long time wants to </w:t>
      </w:r>
      <w:r>
        <w:rPr>
          <w:rFonts w:cs="Times New Roman"/>
          <w:i/>
          <w:iCs/>
        </w:rPr>
        <w:t>appear</w:t>
      </w:r>
      <w:r>
        <w:rPr>
          <w:rFonts w:cs="Times New Roman"/>
        </w:rPr>
        <w:t xml:space="preserve"> something it is in the end hard for him to </w:t>
      </w:r>
      <w:r>
        <w:rPr>
          <w:rFonts w:cs="Times New Roman"/>
          <w:i/>
          <w:iCs/>
        </w:rPr>
        <w:t>be</w:t>
      </w:r>
      <w:r>
        <w:rPr>
          <w:rFonts w:cs="Times New Roman"/>
        </w:rPr>
        <w:t xml:space="preserve"> anything else. (HH 51)</w:t>
      </w:r>
    </w:p>
    <w:p w14:paraId="590E409E" w14:textId="77777777" w:rsidR="004A15AD" w:rsidRDefault="004A15AD">
      <w:pPr>
        <w:ind w:left="720" w:right="720"/>
        <w:rPr>
          <w:rFonts w:cs="Times New Roman"/>
        </w:rPr>
      </w:pPr>
    </w:p>
    <w:p w14:paraId="12D1E4EA" w14:textId="77777777" w:rsidR="004A15AD" w:rsidRDefault="004A15AD">
      <w:pPr>
        <w:ind w:left="720" w:right="720"/>
        <w:rPr>
          <w:rFonts w:cs="Times New Roman"/>
        </w:rPr>
      </w:pPr>
      <w:r>
        <w:rPr>
          <w:rFonts w:cs="Times New Roman"/>
        </w:rPr>
        <w:t xml:space="preserve">The reputation, name, and appearance […] of a thing […] nearly always becomes its essence and </w:t>
      </w:r>
      <w:r>
        <w:rPr>
          <w:rFonts w:cs="Times New Roman"/>
          <w:i/>
          <w:iCs/>
        </w:rPr>
        <w:t>effectively acts</w:t>
      </w:r>
      <w:r>
        <w:rPr>
          <w:rFonts w:cs="Times New Roman"/>
        </w:rPr>
        <w:t xml:space="preserve"> as its essence. (GS 58)</w:t>
      </w:r>
    </w:p>
    <w:p w14:paraId="19478D9F" w14:textId="77777777" w:rsidR="004A15AD" w:rsidRDefault="004A15AD">
      <w:pPr>
        <w:ind w:left="720" w:right="720"/>
        <w:rPr>
          <w:rFonts w:cs="Times New Roman"/>
        </w:rPr>
      </w:pPr>
    </w:p>
    <w:p w14:paraId="6910D178" w14:textId="77777777" w:rsidR="004A15AD" w:rsidRDefault="004A15AD">
      <w:pPr>
        <w:ind w:left="720" w:right="720"/>
        <w:rPr>
          <w:rFonts w:cs="Times New Roman"/>
        </w:rPr>
      </w:pPr>
      <w:r>
        <w:rPr>
          <w:rFonts w:cs="Times New Roman"/>
        </w:rPr>
        <w:t xml:space="preserve">[S]ince time immemorial, in all somehow dependent social strata the common man </w:t>
      </w:r>
      <w:r>
        <w:rPr>
          <w:rFonts w:cs="Times New Roman"/>
          <w:i/>
          <w:iCs/>
        </w:rPr>
        <w:t>was</w:t>
      </w:r>
      <w:r>
        <w:rPr>
          <w:rFonts w:cs="Times New Roman"/>
        </w:rPr>
        <w:t xml:space="preserve"> only what he was </w:t>
      </w:r>
      <w:r>
        <w:rPr>
          <w:rFonts w:cs="Times New Roman"/>
          <w:i/>
          <w:iCs/>
        </w:rPr>
        <w:t>considered</w:t>
      </w:r>
      <w:r>
        <w:rPr>
          <w:rFonts w:cs="Times New Roman"/>
        </w:rPr>
        <w:t>: not at all used to positing values himself, he also attached no other value to himself than his masters attached to him. (</w:t>
      </w:r>
      <w:r>
        <w:rPr>
          <w:rFonts w:cs="Times New Roman"/>
          <w:i/>
          <w:iCs/>
        </w:rPr>
        <w:t>BGE</w:t>
      </w:r>
      <w:r>
        <w:rPr>
          <w:rFonts w:cs="Times New Roman"/>
        </w:rPr>
        <w:t xml:space="preserve"> 261)</w:t>
      </w:r>
    </w:p>
    <w:p w14:paraId="4540D816" w14:textId="77777777" w:rsidR="004A15AD" w:rsidRDefault="004A15AD">
      <w:pPr>
        <w:ind w:left="720" w:right="720"/>
        <w:rPr>
          <w:rFonts w:cs="Times New Roman"/>
        </w:rPr>
      </w:pPr>
    </w:p>
    <w:p w14:paraId="63AEA89E" w14:textId="77777777" w:rsidR="004A15AD" w:rsidRDefault="004A15AD">
      <w:pPr>
        <w:ind w:left="720" w:right="720"/>
        <w:rPr>
          <w:rFonts w:cs="Times New Roman"/>
        </w:rPr>
      </w:pPr>
      <w:r>
        <w:rPr>
          <w:rFonts w:cs="Times New Roman"/>
        </w:rPr>
        <w:t xml:space="preserve">[T]he ordinary man still always </w:t>
      </w:r>
      <w:r>
        <w:rPr>
          <w:rFonts w:cs="Times New Roman"/>
          <w:i/>
          <w:iCs/>
        </w:rPr>
        <w:t>waits</w:t>
      </w:r>
      <w:r>
        <w:rPr>
          <w:rFonts w:cs="Times New Roman"/>
        </w:rPr>
        <w:t xml:space="preserve"> for an opinion about himself and then instinctively submits to that – but by no means only a ‘good’ opinion; also a bad and unfair one. (</w:t>
      </w:r>
      <w:r>
        <w:rPr>
          <w:rFonts w:cs="Times New Roman"/>
          <w:i/>
          <w:iCs/>
        </w:rPr>
        <w:t>BGE</w:t>
      </w:r>
      <w:r>
        <w:rPr>
          <w:rFonts w:cs="Times New Roman"/>
        </w:rPr>
        <w:t xml:space="preserve"> 261; see also GM I)</w:t>
      </w:r>
    </w:p>
    <w:p w14:paraId="3E87B36E" w14:textId="77777777" w:rsidR="004A15AD" w:rsidRDefault="004A15AD">
      <w:pPr>
        <w:rPr>
          <w:rFonts w:cs="Times New Roman"/>
        </w:rPr>
      </w:pPr>
    </w:p>
    <w:p w14:paraId="76FB4A5D" w14:textId="77777777" w:rsidR="004A15AD" w:rsidRDefault="004A15AD">
      <w:pPr>
        <w:rPr>
          <w:rFonts w:cs="Times New Roman"/>
        </w:rPr>
      </w:pPr>
      <w:r>
        <w:rPr>
          <w:rFonts w:cs="Times New Roman"/>
        </w:rPr>
        <w:t xml:space="preserve">I have argued elsewhere that the best way to interpret such passages is to say that Nietzsche believes in the social construction of character (Alfano </w:t>
      </w:r>
      <w:r w:rsidR="002D3D00">
        <w:rPr>
          <w:rFonts w:cs="Times New Roman"/>
        </w:rPr>
        <w:t>2015</w:t>
      </w:r>
      <w:r>
        <w:rPr>
          <w:rFonts w:cs="Times New Roman"/>
        </w:rPr>
        <w:t xml:space="preserve">; see also Hacking 2006); I’ve also argued that the empirical evidence suggests that character actually is socially constructed (Alfano 2013b, 2014).  Here, I want to bring these two ideas together: despite the </w:t>
      </w:r>
      <w:r w:rsidR="009B7A65">
        <w:rPr>
          <w:rFonts w:cs="Times New Roman"/>
        </w:rPr>
        <w:t xml:space="preserve">textual </w:t>
      </w:r>
      <w:r>
        <w:rPr>
          <w:rFonts w:cs="Times New Roman"/>
        </w:rPr>
        <w:t xml:space="preserve">support </w:t>
      </w:r>
      <w:r w:rsidR="009B7A65">
        <w:rPr>
          <w:rFonts w:cs="Times New Roman"/>
        </w:rPr>
        <w:t xml:space="preserve">for a weakened version of </w:t>
      </w:r>
      <w:r>
        <w:rPr>
          <w:rFonts w:cs="Times New Roman"/>
        </w:rPr>
        <w:t>Knobe and Leiter’s doctrine of types, Nietzsche did in fact discover the social construction of character.</w:t>
      </w:r>
    </w:p>
    <w:p w14:paraId="2160D5F6" w14:textId="77777777" w:rsidR="004A15AD" w:rsidRDefault="004A15AD">
      <w:pPr>
        <w:rPr>
          <w:rFonts w:cs="Times New Roman"/>
        </w:rPr>
      </w:pPr>
    </w:p>
    <w:p w14:paraId="1AFD01BB" w14:textId="77777777" w:rsidR="004A15AD" w:rsidRDefault="004A15AD">
      <w:pPr>
        <w:rPr>
          <w:rFonts w:cs="Times New Roman"/>
        </w:rPr>
      </w:pPr>
      <w:r>
        <w:rPr>
          <w:rFonts w:cs="Times New Roman"/>
        </w:rPr>
        <w:t xml:space="preserve">It may be hard to square the passages that support the doctrine of types with those that support the social construction of character, but here’s a try: Nietzsche thinks that many people have the </w:t>
      </w:r>
      <w:r>
        <w:rPr>
          <w:rFonts w:cs="Times New Roman"/>
          <w:i/>
          <w:iCs/>
        </w:rPr>
        <w:t>precise</w:t>
      </w:r>
      <w:r>
        <w:rPr>
          <w:rFonts w:cs="Times New Roman"/>
        </w:rPr>
        <w:t xml:space="preserve"> character traits they do because they have been labeled with those traits.  The idea is that type-facts limit the palette or menu of traits that someone could end up with, but do not uniquely determine how his character will develop.  From that menu, social pressures select and shape the character that results.</w:t>
      </w:r>
      <w:r>
        <w:rPr>
          <w:rStyle w:val="FootnoteReference"/>
        </w:rPr>
        <w:footnoteReference w:id="10"/>
      </w:r>
    </w:p>
    <w:p w14:paraId="773821B8" w14:textId="77777777" w:rsidR="004A15AD" w:rsidRDefault="004A15AD">
      <w:pPr>
        <w:rPr>
          <w:rFonts w:cs="Times New Roman"/>
        </w:rPr>
      </w:pPr>
    </w:p>
    <w:p w14:paraId="3F72984A" w14:textId="77777777" w:rsidR="004A15AD" w:rsidRDefault="004A15AD">
      <w:pPr>
        <w:rPr>
          <w:rFonts w:cs="Times New Roman"/>
        </w:rPr>
      </w:pPr>
      <w:r>
        <w:rPr>
          <w:rFonts w:cs="Times New Roman"/>
        </w:rPr>
        <w:t>This view presupposes a wild diversity in the extensions of trait terms.</w:t>
      </w:r>
      <w:r>
        <w:rPr>
          <w:rStyle w:val="FootnoteReference"/>
        </w:rPr>
        <w:footnoteReference w:id="11"/>
      </w:r>
      <w:r>
        <w:rPr>
          <w:rFonts w:cs="Times New Roman"/>
        </w:rPr>
        <w:t xml:space="preserve">  There is nearly as much diversity in the kinds of dispositions we are willing to call courage as there is between those </w:t>
      </w:r>
      <w:r>
        <w:rPr>
          <w:rFonts w:cs="Times New Roman"/>
        </w:rPr>
        <w:lastRenderedPageBreak/>
        <w:t>dispositions and the kinds of dispositions we call by other names.  Becoming what one is by becoming what one is called is possible because there are so many ways to be what one is called.  This is an idea we see in various passages in Nietzsche, including these two:</w:t>
      </w:r>
    </w:p>
    <w:p w14:paraId="2A491FE2" w14:textId="77777777" w:rsidR="004A15AD" w:rsidRDefault="004A15AD">
      <w:pPr>
        <w:rPr>
          <w:rFonts w:cs="Times New Roman"/>
        </w:rPr>
      </w:pPr>
    </w:p>
    <w:p w14:paraId="5258E223" w14:textId="77777777" w:rsidR="004A15AD" w:rsidRDefault="004A15AD">
      <w:pPr>
        <w:shd w:val="clear" w:color="auto" w:fill="FFFFFF"/>
        <w:ind w:left="720" w:right="720"/>
        <w:rPr>
          <w:rFonts w:cs="Times New Roman"/>
        </w:rPr>
      </w:pPr>
      <w:bookmarkStart w:id="5" w:name="OLE_LINK2"/>
      <w:r>
        <w:rPr>
          <w:rFonts w:cs="Times New Roman"/>
        </w:rPr>
        <w:t>Courage before the enemy is one thing: it does not prevent one from being a coward and indecisive scatterbrain. (GS 169)</w:t>
      </w:r>
    </w:p>
    <w:p w14:paraId="36E84C08" w14:textId="77777777" w:rsidR="004A15AD" w:rsidRDefault="004A15AD">
      <w:pPr>
        <w:shd w:val="clear" w:color="auto" w:fill="FFFFFF"/>
        <w:ind w:left="720" w:right="720"/>
        <w:rPr>
          <w:rFonts w:cs="Times New Roman"/>
        </w:rPr>
      </w:pPr>
    </w:p>
    <w:p w14:paraId="08B9974A" w14:textId="77777777" w:rsidR="004A15AD" w:rsidRDefault="004A15AD">
      <w:pPr>
        <w:shd w:val="clear" w:color="auto" w:fill="FFFFFF"/>
        <w:ind w:left="720" w:right="720"/>
        <w:rPr>
          <w:rFonts w:cs="Times New Roman"/>
        </w:rPr>
      </w:pPr>
      <w:r>
        <w:rPr>
          <w:rFonts w:cs="Times New Roman"/>
        </w:rPr>
        <w:t>Courage as cold valourousness and intrepidity, and courage as hotheaded, half-blind bravery – both are called by the same name!  Yet how different from one another are the </w:t>
      </w:r>
      <w:r>
        <w:rPr>
          <w:rFonts w:cs="Times New Roman"/>
          <w:i/>
          <w:iCs/>
        </w:rPr>
        <w:t>cold virtues</w:t>
      </w:r>
      <w:r>
        <w:rPr>
          <w:rFonts w:cs="Times New Roman"/>
        </w:rPr>
        <w:t> and the </w:t>
      </w:r>
      <w:r>
        <w:rPr>
          <w:rFonts w:cs="Times New Roman"/>
          <w:i/>
          <w:iCs/>
        </w:rPr>
        <w:t>hot</w:t>
      </w:r>
      <w:r>
        <w:rPr>
          <w:rFonts w:cs="Times New Roman"/>
        </w:rPr>
        <w:t>! (D 277)</w:t>
      </w:r>
      <w:bookmarkEnd w:id="5"/>
      <w:r>
        <w:rPr>
          <w:rStyle w:val="FootnoteReference"/>
        </w:rPr>
        <w:footnoteReference w:id="12"/>
      </w:r>
    </w:p>
    <w:p w14:paraId="52EDB731" w14:textId="77777777" w:rsidR="004A15AD" w:rsidRDefault="004A15AD">
      <w:pPr>
        <w:rPr>
          <w:rFonts w:cs="Times New Roman"/>
        </w:rPr>
      </w:pPr>
    </w:p>
    <w:p w14:paraId="0499AD51" w14:textId="77777777" w:rsidR="004A15AD" w:rsidRDefault="004A15AD">
      <w:pPr>
        <w:rPr>
          <w:rFonts w:cs="Times New Roman"/>
        </w:rPr>
      </w:pPr>
      <w:r>
        <w:rPr>
          <w:rFonts w:cs="Times New Roman"/>
        </w:rPr>
        <w:t>Combined with this diversity is the idea of the dual direction-of-fit of character trait ascriptions.  Labeling functions as a self-fulfilling prophecy, which gives it world-to-word direction-of-fit.  But labeling also has word-to-world direction of fit: you can’t get away with calling just anyone courageous, even if courage is multifarious.  In particular, it seems to me that</w:t>
      </w:r>
      <w:r>
        <w:rPr>
          <w:rFonts w:cs="Times New Roman"/>
          <w:i/>
          <w:iCs/>
        </w:rPr>
        <w:t xml:space="preserve"> developmentally</w:t>
      </w:r>
      <w:r>
        <w:rPr>
          <w:rFonts w:cs="Times New Roman"/>
        </w:rPr>
        <w:t xml:space="preserve"> trait ascriptions have world-to-word direction-of-fit, but </w:t>
      </w:r>
      <w:r>
        <w:rPr>
          <w:rFonts w:cs="Times New Roman"/>
          <w:i/>
          <w:iCs/>
        </w:rPr>
        <w:t>in the moment</w:t>
      </w:r>
      <w:r>
        <w:rPr>
          <w:rFonts w:cs="Times New Roman"/>
        </w:rPr>
        <w:t xml:space="preserve"> they have word-to-world direction of fit.  If this is right, the doctrine of types must be supplemented with the social construction of character.  One’s type may, as Knobe and Leiter say, partially determine one’s character, but room must also be made for the influence of society.</w:t>
      </w:r>
      <w:r>
        <w:rPr>
          <w:rStyle w:val="FootnoteReference"/>
        </w:rPr>
        <w:footnoteReference w:id="13"/>
      </w:r>
    </w:p>
    <w:p w14:paraId="169AC017" w14:textId="77777777" w:rsidR="004A15AD" w:rsidRDefault="004A15AD">
      <w:pPr>
        <w:rPr>
          <w:rFonts w:cs="Times New Roman"/>
        </w:rPr>
      </w:pPr>
    </w:p>
    <w:p w14:paraId="49C7E6A8" w14:textId="77777777" w:rsidR="004A15AD" w:rsidRDefault="004A15AD">
      <w:pPr>
        <w:rPr>
          <w:rFonts w:cs="Times New Roman"/>
        </w:rPr>
      </w:pPr>
      <w:r>
        <w:rPr>
          <w:rFonts w:cs="Times New Roman"/>
        </w:rPr>
        <w:t xml:space="preserve">This striking hypothesis receives empirical support from decades of social and personality psychology.  In a seminal study, Miller, Brickman, &amp; Bolen (1975) compared the effects of labeling with those of moral exhortation on the behavior of fifth graders.  Participants in the exhortation group were asked repeatedly by the principal, the teachers, and the janitor to keep their classroom tidy.  The labeling group, by contrast, heard congratulatory (false) announcements of their above-average tidiness over the course of eight days.  On Day 1, the teacher praised them for being ‘ecology minded’ and mentioned that the janitor had commented that theirs was one of the cleanest classrooms in the school.  On Day 2, the teacher noticed some litter on the floor but explained, “our class is clean and would not do that.”  On Day 4, the principal visited the class and commended their orderliness; after he left, the students actually complained that the </w:t>
      </w:r>
      <w:r>
        <w:rPr>
          <w:rFonts w:cs="Times New Roman"/>
          <w:i/>
          <w:iCs/>
        </w:rPr>
        <w:t>teacher’s</w:t>
      </w:r>
      <w:r>
        <w:rPr>
          <w:rFonts w:cs="Times New Roman"/>
        </w:rPr>
        <w:t xml:space="preserve"> desk was not as neat as theirs.  On Day 8, the janitors washed the room and left a note thanking the students for making their job so easy.  After a brief improvement in their behavior, the exhortation group settled back into its old routine, but the labeling group exhibited higher levels of tidiness over an extended period.  </w:t>
      </w:r>
    </w:p>
    <w:p w14:paraId="14E88CA2" w14:textId="77777777" w:rsidR="004A15AD" w:rsidRDefault="004A15AD">
      <w:pPr>
        <w:rPr>
          <w:rFonts w:cs="Times New Roman"/>
        </w:rPr>
      </w:pPr>
    </w:p>
    <w:p w14:paraId="3867CEE9" w14:textId="77777777" w:rsidR="004A15AD" w:rsidRDefault="004A15AD">
      <w:pPr>
        <w:rPr>
          <w:rFonts w:cs="Times New Roman"/>
        </w:rPr>
      </w:pPr>
      <w:r>
        <w:rPr>
          <w:rFonts w:cs="Times New Roman"/>
        </w:rPr>
        <w:t xml:space="preserve">Other experiments have corroborated the tidiness study with other trait attributions.  Jensen &amp; Moore (1977), for instance, found that children labeled as charitable donated more than those </w:t>
      </w:r>
      <w:r>
        <w:rPr>
          <w:rFonts w:cs="Times New Roman"/>
        </w:rPr>
        <w:lastRenderedPageBreak/>
        <w:t xml:space="preserve">who were subjected to moral suasion.  Grusec, Kuczynski, Rushton, &amp; Simutis (1978) announced to experimental participants that a questionairre they had completed indicated either that they were competitive or that they were cooperative, inducing congruent behavior in a subsequent game.  Grusec &amp; Redler (1980) found that ten-year-olds who helped once and were then labeled (“You know, you certainly are a nice person.  I bet you’re someone who is helpful whenever possible.”) contributed 350% more in a subsequent trial than students whose actions were praised after helping (“You know, that was certainly a nice thing to do.  It was good that you helped me with my work here today.”).  More recently, in a longitudinal study, Srivastava et al. (2006) showed that optimists tend to have better romantic relationships – a relationship mediated by perceived support from romantic partners.  In other words, if you systematically attribute supportiveness to your partner, you’ll be more likely to perceive support, which in turn will make your relationship more supportive: your partner </w:t>
      </w:r>
      <w:r>
        <w:rPr>
          <w:rFonts w:cs="Times New Roman"/>
          <w:i/>
          <w:iCs/>
        </w:rPr>
        <w:t>is</w:t>
      </w:r>
      <w:r>
        <w:rPr>
          <w:rFonts w:cs="Times New Roman"/>
        </w:rPr>
        <w:t xml:space="preserve"> more supportive because </w:t>
      </w:r>
      <w:r>
        <w:rPr>
          <w:rFonts w:cs="Times New Roman"/>
          <w:i/>
          <w:iCs/>
        </w:rPr>
        <w:t>take him to be</w:t>
      </w:r>
      <w:r>
        <w:rPr>
          <w:rFonts w:cs="Times New Roman"/>
        </w:rPr>
        <w:t xml:space="preserve"> more supportive.  These are just a few examples, but the point should be clear: praise and exhortation are worse ways to elicit trait-congruent behavior than attribution.  People become what they are by becoming what they are called.  </w:t>
      </w:r>
    </w:p>
    <w:p w14:paraId="017992FF" w14:textId="77777777" w:rsidR="004A15AD" w:rsidRDefault="004A15AD">
      <w:pPr>
        <w:rPr>
          <w:rFonts w:cs="Times New Roman"/>
        </w:rPr>
      </w:pPr>
    </w:p>
    <w:p w14:paraId="3008E5A7" w14:textId="77777777" w:rsidR="004A15AD" w:rsidRDefault="004A15AD">
      <w:pPr>
        <w:rPr>
          <w:rFonts w:cs="Times New Roman"/>
        </w:rPr>
      </w:pPr>
      <w:r>
        <w:rPr>
          <w:rFonts w:cs="Times New Roman"/>
        </w:rPr>
        <w:t>Thus, while I agree with Knobe and Leiter both that Nietzsche accepts the doctrine of types and that there is strong empirical support for the doctrine of types, I think that they overlook Nietzsche’s insight into the social construction of character and the empirical support for the social construction of character.  These two positions may seem to be in tension, but ultimately I think that both can be accommodated.  Types are diverse.  What counts as agreeableness, neuroticism, extraversion, and so on differs from case to case and person to person.  Character traits develop through the interaction of types and social influence, and even they exhibit a great deal of diversity.  In a recent book, Adams (2009, p. 182) argues that courage should be divided up into “modules” that include physical courage, social courage, financial courage, and vicarious courage (the courage not to be overprotective or paternalistic).  This echoes Nietzsche’s own distinctions between different types of courage.</w:t>
      </w:r>
    </w:p>
    <w:p w14:paraId="605F072B" w14:textId="77777777" w:rsidR="004A15AD" w:rsidRDefault="004A15AD">
      <w:pPr>
        <w:rPr>
          <w:rFonts w:cs="Times New Roman"/>
        </w:rPr>
      </w:pPr>
    </w:p>
    <w:p w14:paraId="38A2D73F" w14:textId="77777777" w:rsidR="004A15AD" w:rsidRPr="00D94C97" w:rsidRDefault="008B2806">
      <w:pPr>
        <w:rPr>
          <w:rFonts w:cs="Times New Roman"/>
          <w:b/>
        </w:rPr>
      </w:pPr>
      <w:r>
        <w:rPr>
          <w:rFonts w:cs="Times New Roman"/>
          <w:b/>
        </w:rPr>
        <w:t>3 Conclusion</w:t>
      </w:r>
    </w:p>
    <w:p w14:paraId="5A286D24" w14:textId="77777777" w:rsidR="004A15AD" w:rsidRDefault="004A15AD">
      <w:pPr>
        <w:rPr>
          <w:rFonts w:cs="Times New Roman"/>
        </w:rPr>
      </w:pPr>
    </w:p>
    <w:p w14:paraId="5BEFF570" w14:textId="77777777" w:rsidR="004A15AD" w:rsidRPr="009746A5" w:rsidRDefault="008B2806">
      <w:pPr>
        <w:rPr>
          <w:rFonts w:cs="Times New Roman"/>
        </w:rPr>
      </w:pPr>
      <w:r>
        <w:rPr>
          <w:rFonts w:cs="Times New Roman"/>
        </w:rPr>
        <w:t xml:space="preserve">One might wonder how Nietzsche – a loner who had no access to the findings of </w:t>
      </w:r>
      <w:r w:rsidR="009746A5">
        <w:rPr>
          <w:rFonts w:cs="Times New Roman"/>
        </w:rPr>
        <w:t xml:space="preserve">contemporary </w:t>
      </w:r>
      <w:r>
        <w:rPr>
          <w:rFonts w:cs="Times New Roman"/>
        </w:rPr>
        <w:t xml:space="preserve">experimental psychology and who seemed to delight in expressing stupid, reactionary views about race and gender (though he is occasionally surprisingly insightful about the latter, e.g., </w:t>
      </w:r>
      <w:r w:rsidR="009746A5">
        <w:rPr>
          <w:rFonts w:cs="Times New Roman"/>
          <w:i/>
        </w:rPr>
        <w:t>D</w:t>
      </w:r>
      <w:r w:rsidR="009746A5">
        <w:rPr>
          <w:rFonts w:cs="Times New Roman"/>
        </w:rPr>
        <w:t xml:space="preserve"> 346) – could have achieved the insights I attribute to him in this paper.  He attempts to answer this question himself in various works, especially </w:t>
      </w:r>
      <w:r w:rsidR="009746A5">
        <w:rPr>
          <w:rFonts w:cs="Times New Roman"/>
          <w:i/>
        </w:rPr>
        <w:t>BGE</w:t>
      </w:r>
      <w:r w:rsidR="009746A5">
        <w:rPr>
          <w:rFonts w:cs="Times New Roman"/>
        </w:rPr>
        <w:t xml:space="preserve"> and </w:t>
      </w:r>
      <w:r w:rsidR="009746A5">
        <w:rPr>
          <w:rFonts w:cs="Times New Roman"/>
          <w:i/>
        </w:rPr>
        <w:t>EH</w:t>
      </w:r>
      <w:r w:rsidR="009746A5">
        <w:rPr>
          <w:rFonts w:cs="Times New Roman"/>
        </w:rPr>
        <w:t xml:space="preserve">.  For instance, in </w:t>
      </w:r>
      <w:r w:rsidR="009746A5">
        <w:rPr>
          <w:rFonts w:cs="Times New Roman"/>
          <w:i/>
        </w:rPr>
        <w:t>BGE</w:t>
      </w:r>
      <w:r w:rsidR="009746A5">
        <w:rPr>
          <w:rFonts w:cs="Times New Roman"/>
        </w:rPr>
        <w:t xml:space="preserve"> he goes out of his way to stress that his virtues are intellectual virtues, in particular, curiosity, (intellectual) courage, honesty (with himself), and cruelty (towards his own tender feelings).  He seems to think that the insights to which he is privy are available to most people, but that most people are too intellectually lazy, too afraid of really seeing (and smelling) unpleasant truths about human nature, too inclined to self-deception, too merciful towards themselves to really appreciate these truths.</w:t>
      </w:r>
      <w:r w:rsidR="009746A5">
        <w:rPr>
          <w:rStyle w:val="FootnoteReference"/>
        </w:rPr>
        <w:footnoteReference w:id="14"/>
      </w:r>
      <w:r w:rsidR="009746A5">
        <w:rPr>
          <w:rFonts w:cs="Times New Roman"/>
        </w:rPr>
        <w:t xml:space="preserve">  And in </w:t>
      </w:r>
      <w:r w:rsidR="009746A5">
        <w:rPr>
          <w:rFonts w:cs="Times New Roman"/>
          <w:i/>
        </w:rPr>
        <w:t>EH</w:t>
      </w:r>
      <w:r w:rsidR="009746A5">
        <w:rPr>
          <w:rFonts w:cs="Times New Roman"/>
        </w:rPr>
        <w:t xml:space="preserve"> he claims to be especially attuned to his own visceral and other bodily states, which in turn allows him to detect subtle cognitive and affective phenomena </w:t>
      </w:r>
      <w:r w:rsidR="009746A5">
        <w:rPr>
          <w:rFonts w:cs="Times New Roman"/>
        </w:rPr>
        <w:lastRenderedPageBreak/>
        <w:t>that others simply glide over.</w:t>
      </w:r>
      <w:r w:rsidR="0038512C">
        <w:rPr>
          <w:rFonts w:cs="Times New Roman"/>
        </w:rPr>
        <w:t xml:space="preserve">  Whether these are accurate </w:t>
      </w:r>
      <w:r w:rsidR="00E92764">
        <w:rPr>
          <w:rFonts w:cs="Times New Roman"/>
        </w:rPr>
        <w:t>explanations of Nietzsche’s insights or mere post hoc confabulations is hard to say, but a question worthy of further pursuit.</w:t>
      </w:r>
      <w:r w:rsidR="000B03AD">
        <w:rPr>
          <w:rStyle w:val="FootnoteReference"/>
        </w:rPr>
        <w:footnoteReference w:id="15"/>
      </w:r>
    </w:p>
    <w:p w14:paraId="1FA7B117" w14:textId="77777777" w:rsidR="004A15AD" w:rsidRDefault="004A15AD">
      <w:pPr>
        <w:rPr>
          <w:rFonts w:cs="Times New Roman"/>
        </w:rPr>
      </w:pPr>
      <w:r>
        <w:rPr>
          <w:rFonts w:cs="Times New Roman"/>
        </w:rPr>
        <w:br w:type="page"/>
      </w:r>
      <w:r>
        <w:rPr>
          <w:rFonts w:cs="Times New Roman"/>
          <w:b/>
          <w:bCs/>
        </w:rPr>
        <w:lastRenderedPageBreak/>
        <w:t>References</w:t>
      </w:r>
    </w:p>
    <w:p w14:paraId="7F418C4E" w14:textId="77777777" w:rsidR="004A15AD" w:rsidRDefault="004A15AD">
      <w:pPr>
        <w:rPr>
          <w:rFonts w:cs="Times New Roman"/>
        </w:rPr>
      </w:pPr>
    </w:p>
    <w:p w14:paraId="10B07B15" w14:textId="77777777" w:rsidR="004A15AD" w:rsidRDefault="004A15AD">
      <w:pPr>
        <w:ind w:left="720" w:hanging="720"/>
        <w:rPr>
          <w:rFonts w:cs="Times New Roman"/>
        </w:rPr>
      </w:pPr>
      <w:r>
        <w:rPr>
          <w:rFonts w:cs="Times New Roman"/>
        </w:rPr>
        <w:t xml:space="preserve">Adams, R. M. (2009). </w:t>
      </w:r>
      <w:r>
        <w:rPr>
          <w:rFonts w:cs="Times New Roman"/>
          <w:i/>
          <w:iCs/>
        </w:rPr>
        <w:t>A Theory of Virtue</w:t>
      </w:r>
      <w:r>
        <w:rPr>
          <w:rFonts w:cs="Times New Roman"/>
        </w:rPr>
        <w:t>. Oxford UP.</w:t>
      </w:r>
    </w:p>
    <w:p w14:paraId="5D6E9A16" w14:textId="77777777" w:rsidR="004A15AD" w:rsidRDefault="004A15AD">
      <w:pPr>
        <w:ind w:left="720" w:hanging="720"/>
        <w:rPr>
          <w:rFonts w:cs="Times New Roman"/>
        </w:rPr>
      </w:pPr>
      <w:r>
        <w:rPr>
          <w:rFonts w:cs="Times New Roman"/>
        </w:rPr>
        <w:t xml:space="preserve">Alhakami, A. &amp; Slovic, P. (1994). A psychological study of the inverse relationship between perceived risk and perceived benefit. </w:t>
      </w:r>
      <w:r>
        <w:rPr>
          <w:rFonts w:cs="Times New Roman"/>
          <w:i/>
          <w:iCs/>
        </w:rPr>
        <w:t>Risk Analysis</w:t>
      </w:r>
      <w:r>
        <w:rPr>
          <w:rFonts w:cs="Times New Roman"/>
        </w:rPr>
        <w:t>, 14, 1085-1096.</w:t>
      </w:r>
    </w:p>
    <w:p w14:paraId="771A2670" w14:textId="77777777" w:rsidR="00DC4E20" w:rsidRDefault="00F5253E" w:rsidP="00DC4E20">
      <w:pPr>
        <w:ind w:left="720" w:hanging="720"/>
        <w:rPr>
          <w:rFonts w:cs="Times New Roman"/>
        </w:rPr>
      </w:pPr>
      <w:r>
        <w:rPr>
          <w:rFonts w:cs="Times New Roman"/>
        </w:rPr>
        <w:t>Alfano, M. (forthcoming a). An enchanting abundance of typ</w:t>
      </w:r>
      <w:r w:rsidR="00DC4E20">
        <w:rPr>
          <w:rFonts w:cs="Times New Roman"/>
        </w:rPr>
        <w:t xml:space="preserve">es: Nietzsche’s modest unity of virtue thesis. </w:t>
      </w:r>
      <w:r w:rsidR="00DC4E20">
        <w:rPr>
          <w:rFonts w:cs="Times New Roman"/>
          <w:i/>
          <w:iCs/>
        </w:rPr>
        <w:t>Journal of Value Inquiry</w:t>
      </w:r>
      <w:r w:rsidR="00DC4E20">
        <w:rPr>
          <w:rFonts w:cs="Times New Roman"/>
        </w:rPr>
        <w:t>.</w:t>
      </w:r>
    </w:p>
    <w:p w14:paraId="41419ED5" w14:textId="77777777" w:rsidR="004A15AD" w:rsidRDefault="004A15AD">
      <w:pPr>
        <w:ind w:left="720" w:hanging="720"/>
        <w:rPr>
          <w:rFonts w:cs="Times New Roman"/>
        </w:rPr>
      </w:pPr>
      <w:r>
        <w:rPr>
          <w:rFonts w:cs="Times New Roman"/>
        </w:rPr>
        <w:t xml:space="preserve">Alfano, M. (forthcoming b). </w:t>
      </w:r>
      <w:r>
        <w:rPr>
          <w:rFonts w:cs="Times New Roman"/>
          <w:i/>
          <w:iCs/>
        </w:rPr>
        <w:t>Nietzsche’s Socio-Moral Psychology</w:t>
      </w:r>
      <w:r>
        <w:rPr>
          <w:rFonts w:cs="Times New Roman"/>
        </w:rPr>
        <w:t>. Cambridge University Press.</w:t>
      </w:r>
    </w:p>
    <w:p w14:paraId="0D772CDF" w14:textId="77777777" w:rsidR="00F5253E" w:rsidRDefault="00F5253E" w:rsidP="00F5253E">
      <w:pPr>
        <w:ind w:left="720" w:hanging="720"/>
        <w:rPr>
          <w:rFonts w:cs="Times New Roman"/>
        </w:rPr>
      </w:pPr>
      <w:r>
        <w:rPr>
          <w:rFonts w:cs="Times New Roman"/>
        </w:rPr>
        <w:t xml:space="preserve">Alfano, M. (2015). How one becomes what one is called: On the relation between traits and trait-terms in Nietzsche. </w:t>
      </w:r>
      <w:r>
        <w:rPr>
          <w:rFonts w:cs="Times New Roman"/>
          <w:i/>
          <w:iCs/>
        </w:rPr>
        <w:t>Journal of Nietzsche Studies</w:t>
      </w:r>
      <w:r>
        <w:rPr>
          <w:rFonts w:cs="Times New Roman"/>
        </w:rPr>
        <w:t>.</w:t>
      </w:r>
    </w:p>
    <w:p w14:paraId="3001122C" w14:textId="77777777" w:rsidR="00DC4E20" w:rsidRDefault="00DC4E20" w:rsidP="00DC4E20">
      <w:pPr>
        <w:ind w:left="720" w:hanging="720"/>
        <w:rPr>
          <w:rFonts w:cs="Times New Roman"/>
        </w:rPr>
      </w:pPr>
      <w:r>
        <w:rPr>
          <w:rFonts w:cs="Times New Roman"/>
        </w:rPr>
        <w:t xml:space="preserve">Alfano, M. (2014). What are the bearers of virtues. In H. Sarkissian &amp; J. Wright (eds.), </w:t>
      </w:r>
      <w:r>
        <w:rPr>
          <w:rFonts w:cs="Times New Roman"/>
          <w:i/>
          <w:iCs/>
        </w:rPr>
        <w:t>Advances in Moral Psychology</w:t>
      </w:r>
      <w:r>
        <w:rPr>
          <w:rFonts w:cs="Times New Roman"/>
        </w:rPr>
        <w:t>. New York: Continuum.</w:t>
      </w:r>
    </w:p>
    <w:p w14:paraId="3422ED70" w14:textId="77777777" w:rsidR="004A15AD" w:rsidRDefault="004A15AD">
      <w:pPr>
        <w:ind w:left="720" w:hanging="720"/>
        <w:rPr>
          <w:rFonts w:cs="Times New Roman"/>
        </w:rPr>
      </w:pPr>
      <w:r>
        <w:rPr>
          <w:rFonts w:cs="Times New Roman"/>
        </w:rPr>
        <w:t xml:space="preserve">Alfano, M. (2013a). Nietzsche, naturalism, and the tenacity of the intentional. </w:t>
      </w:r>
      <w:r>
        <w:rPr>
          <w:rFonts w:cs="Times New Roman"/>
          <w:i/>
          <w:iCs/>
        </w:rPr>
        <w:t>Journal of Nietzsche Studies</w:t>
      </w:r>
      <w:r>
        <w:rPr>
          <w:rFonts w:cs="Times New Roman"/>
        </w:rPr>
        <w:t>, 44:3, 457-464.</w:t>
      </w:r>
    </w:p>
    <w:p w14:paraId="3AFBB828" w14:textId="77777777" w:rsidR="00F5253E" w:rsidRDefault="00F5253E" w:rsidP="00F5253E">
      <w:pPr>
        <w:ind w:left="720" w:hanging="720"/>
        <w:rPr>
          <w:rFonts w:cs="Times New Roman"/>
        </w:rPr>
      </w:pPr>
      <w:r>
        <w:rPr>
          <w:rFonts w:cs="Times New Roman"/>
        </w:rPr>
        <w:t xml:space="preserve">Alfano, M. (2013b). </w:t>
      </w:r>
      <w:r>
        <w:rPr>
          <w:rFonts w:cs="Times New Roman"/>
          <w:i/>
          <w:iCs/>
        </w:rPr>
        <w:t>Character as Moral Fiction</w:t>
      </w:r>
      <w:r>
        <w:rPr>
          <w:rFonts w:cs="Times New Roman"/>
        </w:rPr>
        <w:t>. Cambridge UP.</w:t>
      </w:r>
    </w:p>
    <w:p w14:paraId="65D4A188" w14:textId="77777777" w:rsidR="00F5253E" w:rsidRPr="009746A5" w:rsidRDefault="00F5253E" w:rsidP="00F5253E">
      <w:pPr>
        <w:ind w:left="720" w:hanging="720"/>
        <w:rPr>
          <w:rFonts w:cs="Times New Roman"/>
        </w:rPr>
      </w:pPr>
      <w:r>
        <w:rPr>
          <w:rFonts w:cs="Times New Roman"/>
        </w:rPr>
        <w:t xml:space="preserve">Alfano, M. (2013c). The most agreeable of all vices: Nietzsche as virtue epistemologist. </w:t>
      </w:r>
      <w:r>
        <w:rPr>
          <w:rFonts w:cs="Times New Roman"/>
          <w:i/>
        </w:rPr>
        <w:t>British Journal for the History of Philosophy</w:t>
      </w:r>
      <w:r>
        <w:rPr>
          <w:rFonts w:cs="Times New Roman"/>
        </w:rPr>
        <w:t>, 21(4): 767-90.</w:t>
      </w:r>
    </w:p>
    <w:p w14:paraId="2945D7CB" w14:textId="77777777" w:rsidR="004A15AD" w:rsidRDefault="004A15AD">
      <w:pPr>
        <w:ind w:left="720" w:hanging="720"/>
        <w:rPr>
          <w:rFonts w:cs="Times New Roman"/>
        </w:rPr>
      </w:pPr>
      <w:r>
        <w:rPr>
          <w:rFonts w:cs="Times New Roman"/>
        </w:rPr>
        <w:t xml:space="preserve">Alfano, M. (2010). The tenacity of the intentional prior to the </w:t>
      </w:r>
      <w:r>
        <w:rPr>
          <w:rFonts w:cs="Times New Roman"/>
          <w:i/>
          <w:iCs/>
        </w:rPr>
        <w:t>Genealogy</w:t>
      </w:r>
      <w:r>
        <w:rPr>
          <w:rFonts w:cs="Times New Roman"/>
        </w:rPr>
        <w:t xml:space="preserve">. </w:t>
      </w:r>
      <w:r>
        <w:rPr>
          <w:rFonts w:cs="Times New Roman"/>
          <w:i/>
          <w:iCs/>
        </w:rPr>
        <w:t>Journal of Nietzsche Studies</w:t>
      </w:r>
      <w:r>
        <w:rPr>
          <w:rFonts w:cs="Times New Roman"/>
        </w:rPr>
        <w:t>, 30, 123-140.</w:t>
      </w:r>
    </w:p>
    <w:p w14:paraId="7774441C" w14:textId="77777777" w:rsidR="004A15AD" w:rsidRDefault="004A15AD">
      <w:pPr>
        <w:ind w:left="720" w:hanging="720"/>
        <w:rPr>
          <w:rFonts w:cs="Times New Roman"/>
        </w:rPr>
      </w:pPr>
      <w:r>
        <w:rPr>
          <w:rFonts w:cs="Times New Roman"/>
        </w:rPr>
        <w:t xml:space="preserve">Damasio, A. R. (1994). </w:t>
      </w:r>
      <w:r>
        <w:rPr>
          <w:rFonts w:cs="Times New Roman"/>
          <w:i/>
          <w:iCs/>
        </w:rPr>
        <w:t>Descartes’ error: Emotion, reason, and the human brain</w:t>
      </w:r>
      <w:r>
        <w:rPr>
          <w:rFonts w:cs="Times New Roman"/>
        </w:rPr>
        <w:t>. New York: Avon.</w:t>
      </w:r>
      <w:bookmarkStart w:id="6" w:name="_GoBack"/>
      <w:bookmarkEnd w:id="6"/>
    </w:p>
    <w:p w14:paraId="4265DD4F" w14:textId="77777777" w:rsidR="004A15AD" w:rsidRDefault="004A15AD">
      <w:pPr>
        <w:ind w:left="720" w:hanging="720"/>
        <w:rPr>
          <w:rFonts w:cs="Times New Roman"/>
        </w:rPr>
      </w:pPr>
      <w:r>
        <w:rPr>
          <w:rFonts w:cs="Times New Roman"/>
        </w:rPr>
        <w:t xml:space="preserve">Finucane, M., Alhakami, A., Slovic, P. &amp; Johnson, S. (2000). The affective heuristic in judgments of risk and benefits. </w:t>
      </w:r>
      <w:r>
        <w:rPr>
          <w:rFonts w:cs="Times New Roman"/>
          <w:i/>
          <w:iCs/>
        </w:rPr>
        <w:t>Journal of Behavioral Decision Making</w:t>
      </w:r>
      <w:r>
        <w:rPr>
          <w:rFonts w:cs="Times New Roman"/>
        </w:rPr>
        <w:t>, 13, 1-17.</w:t>
      </w:r>
    </w:p>
    <w:p w14:paraId="58E7F258" w14:textId="77777777" w:rsidR="00427A58" w:rsidRPr="00427A58" w:rsidRDefault="00427A58">
      <w:pPr>
        <w:ind w:left="720" w:hanging="720"/>
        <w:rPr>
          <w:rFonts w:cs="Times New Roman"/>
        </w:rPr>
      </w:pPr>
      <w:r>
        <w:rPr>
          <w:rFonts w:cs="Times New Roman"/>
        </w:rPr>
        <w:t xml:space="preserve">Freud, S. (1899 / 1998). </w:t>
      </w:r>
      <w:r>
        <w:rPr>
          <w:rFonts w:cs="Times New Roman"/>
          <w:i/>
        </w:rPr>
        <w:t>The Interpretation of Dreams</w:t>
      </w:r>
      <w:r>
        <w:rPr>
          <w:rFonts w:cs="Times New Roman"/>
        </w:rPr>
        <w:t>. Translated by James Strachey. New York: Harper Collins.</w:t>
      </w:r>
    </w:p>
    <w:p w14:paraId="55490138" w14:textId="77777777" w:rsidR="004A15AD" w:rsidRDefault="004A15AD">
      <w:pPr>
        <w:ind w:left="720" w:hanging="720"/>
        <w:rPr>
          <w:rFonts w:cs="Times New Roman"/>
        </w:rPr>
      </w:pPr>
      <w:r>
        <w:rPr>
          <w:rFonts w:cs="Times New Roman"/>
        </w:rPr>
        <w:t xml:space="preserve">Grusec, J. &amp; Redler, E. (1980). Attribution, reinforcement, and altruism: A developmental analysis.  </w:t>
      </w:r>
      <w:r>
        <w:rPr>
          <w:rFonts w:cs="Times New Roman"/>
          <w:i/>
          <w:iCs/>
        </w:rPr>
        <w:t>Developmental Psychology</w:t>
      </w:r>
      <w:r>
        <w:rPr>
          <w:rFonts w:cs="Times New Roman"/>
        </w:rPr>
        <w:t>, 16:5, 525-534.</w:t>
      </w:r>
    </w:p>
    <w:p w14:paraId="6CC0A6B8" w14:textId="77777777" w:rsidR="004A15AD" w:rsidRDefault="004A15AD">
      <w:pPr>
        <w:ind w:left="720" w:hanging="720"/>
        <w:rPr>
          <w:rFonts w:cs="Times New Roman"/>
        </w:rPr>
      </w:pPr>
      <w:r>
        <w:rPr>
          <w:rFonts w:cs="Times New Roman"/>
        </w:rPr>
        <w:t xml:space="preserve">Grusec, J., Kuczynski, L., Rushton, J., &amp; Simutis, Z. (1978). Modeling, direct instruction, and attributions: Effects on altruism. </w:t>
      </w:r>
      <w:r>
        <w:rPr>
          <w:rFonts w:cs="Times New Roman"/>
          <w:i/>
          <w:iCs/>
        </w:rPr>
        <w:t>Developmental Psychology</w:t>
      </w:r>
      <w:r>
        <w:rPr>
          <w:rFonts w:cs="Times New Roman"/>
        </w:rPr>
        <w:t>, 14, 51-57.</w:t>
      </w:r>
    </w:p>
    <w:p w14:paraId="35C8D7D5" w14:textId="77777777" w:rsidR="004A15AD" w:rsidRDefault="004A15AD">
      <w:pPr>
        <w:ind w:left="720" w:hanging="720"/>
        <w:rPr>
          <w:rFonts w:cs="Times New Roman"/>
        </w:rPr>
      </w:pPr>
      <w:r>
        <w:rPr>
          <w:rFonts w:cs="Times New Roman"/>
        </w:rPr>
        <w:t xml:space="preserve">Hacking, I. (2006). Making up people. </w:t>
      </w:r>
      <w:r>
        <w:rPr>
          <w:rFonts w:cs="Times New Roman"/>
          <w:i/>
          <w:iCs/>
        </w:rPr>
        <w:t>London Review of Books</w:t>
      </w:r>
      <w:r>
        <w:rPr>
          <w:rFonts w:cs="Times New Roman"/>
        </w:rPr>
        <w:t>, 28:16, 23-26.</w:t>
      </w:r>
    </w:p>
    <w:p w14:paraId="750CCAEF" w14:textId="77777777" w:rsidR="004A15AD" w:rsidRDefault="004A15AD">
      <w:pPr>
        <w:ind w:left="720" w:hanging="720"/>
        <w:rPr>
          <w:rFonts w:cs="Times New Roman"/>
        </w:rPr>
      </w:pPr>
      <w:r>
        <w:rPr>
          <w:rFonts w:cs="Times New Roman"/>
        </w:rPr>
        <w:t xml:space="preserve">Janaway, C. (2007).  </w:t>
      </w:r>
      <w:r>
        <w:rPr>
          <w:rFonts w:cs="Times New Roman"/>
          <w:i/>
          <w:iCs/>
        </w:rPr>
        <w:t xml:space="preserve">Beyond Selflessness: Reading Nietzsche’s </w:t>
      </w:r>
      <w:r>
        <w:rPr>
          <w:rFonts w:cs="Times New Roman"/>
        </w:rPr>
        <w:t>Genealogy</w:t>
      </w:r>
      <w:r>
        <w:rPr>
          <w:rFonts w:cs="Times New Roman"/>
          <w:i/>
          <w:iCs/>
        </w:rPr>
        <w:t xml:space="preserve">.  </w:t>
      </w:r>
      <w:r>
        <w:rPr>
          <w:rFonts w:cs="Times New Roman"/>
        </w:rPr>
        <w:t>Oxford: Oxford University Press.</w:t>
      </w:r>
    </w:p>
    <w:p w14:paraId="06D23ABF" w14:textId="77777777" w:rsidR="004A15AD" w:rsidRDefault="004A15AD">
      <w:pPr>
        <w:ind w:left="720" w:hanging="720"/>
        <w:rPr>
          <w:rFonts w:cs="Times New Roman"/>
        </w:rPr>
      </w:pPr>
      <w:r>
        <w:rPr>
          <w:rFonts w:cs="Times New Roman"/>
        </w:rPr>
        <w:t xml:space="preserve">Jensen, A. &amp; Moore, S. (1977). The effect of attribute statements on cooperativeness and competitiveness in school-age boys. </w:t>
      </w:r>
      <w:r>
        <w:rPr>
          <w:rFonts w:cs="Times New Roman"/>
          <w:i/>
          <w:iCs/>
        </w:rPr>
        <w:t>Child Development</w:t>
      </w:r>
      <w:r>
        <w:rPr>
          <w:rFonts w:cs="Times New Roman"/>
        </w:rPr>
        <w:t>, 48, 305-307.</w:t>
      </w:r>
    </w:p>
    <w:p w14:paraId="4A24780B" w14:textId="77777777" w:rsidR="004A15AD" w:rsidRDefault="004A15AD">
      <w:pPr>
        <w:ind w:left="720" w:hanging="720"/>
        <w:rPr>
          <w:rFonts w:cs="Times New Roman"/>
        </w:rPr>
      </w:pPr>
      <w:r>
        <w:rPr>
          <w:rFonts w:cs="Times New Roman"/>
        </w:rPr>
        <w:t xml:space="preserve">Kahneman, D. (2011). </w:t>
      </w:r>
      <w:r>
        <w:rPr>
          <w:rFonts w:cs="Times New Roman"/>
          <w:i/>
          <w:iCs/>
        </w:rPr>
        <w:t>Thinking, Fast and Slow</w:t>
      </w:r>
      <w:r>
        <w:rPr>
          <w:rFonts w:cs="Times New Roman"/>
        </w:rPr>
        <w:t>. New York: Farrar, Strauss, and Giroux.</w:t>
      </w:r>
    </w:p>
    <w:p w14:paraId="741E22D9" w14:textId="77777777" w:rsidR="004A15AD" w:rsidRDefault="004A15AD">
      <w:pPr>
        <w:ind w:left="720" w:hanging="720"/>
        <w:rPr>
          <w:rFonts w:cs="Times New Roman"/>
        </w:rPr>
      </w:pPr>
      <w:r>
        <w:rPr>
          <w:rFonts w:cs="Times New Roman"/>
        </w:rPr>
        <w:t xml:space="preserve">Katsafanas, P. (2013a). Nietzsche’s philosophical psychology. In J. Richardson &amp; K. Gemes (eds.), </w:t>
      </w:r>
      <w:r>
        <w:rPr>
          <w:rFonts w:cs="Times New Roman"/>
          <w:i/>
          <w:iCs/>
        </w:rPr>
        <w:t>Oxford Handbook of Nietzsche</w:t>
      </w:r>
      <w:r>
        <w:rPr>
          <w:rFonts w:cs="Times New Roman"/>
        </w:rPr>
        <w:t>. Oxford UP.</w:t>
      </w:r>
    </w:p>
    <w:p w14:paraId="432BCB67" w14:textId="77777777" w:rsidR="004A15AD" w:rsidRDefault="004A15AD">
      <w:pPr>
        <w:ind w:left="720" w:hanging="720"/>
        <w:rPr>
          <w:rFonts w:cs="Times New Roman"/>
        </w:rPr>
      </w:pPr>
      <w:r>
        <w:rPr>
          <w:rFonts w:cs="Times New Roman"/>
        </w:rPr>
        <w:t xml:space="preserve">Katsafanas, P. (2013b). Philosophical psychology as a basis for ethics. </w:t>
      </w:r>
      <w:r>
        <w:rPr>
          <w:rFonts w:cs="Times New Roman"/>
          <w:i/>
          <w:iCs/>
        </w:rPr>
        <w:t>Journal of Nietzsche Studies</w:t>
      </w:r>
      <w:r>
        <w:rPr>
          <w:rFonts w:cs="Times New Roman"/>
        </w:rPr>
        <w:t>, 44, 297-314.</w:t>
      </w:r>
    </w:p>
    <w:p w14:paraId="02270FE7" w14:textId="77777777" w:rsidR="004A15AD" w:rsidRDefault="004A15AD">
      <w:pPr>
        <w:ind w:left="720" w:hanging="720"/>
        <w:rPr>
          <w:rFonts w:cs="Times New Roman"/>
        </w:rPr>
      </w:pPr>
      <w:r>
        <w:rPr>
          <w:rFonts w:cs="Times New Roman"/>
        </w:rPr>
        <w:t xml:space="preserve">Katsafanas, P. (2014). Value, affect, and drive. In P. Kail &amp; M. Dries (eds.), </w:t>
      </w:r>
      <w:r>
        <w:rPr>
          <w:rFonts w:cs="Times New Roman"/>
          <w:i/>
          <w:iCs/>
        </w:rPr>
        <w:t>Nietzsche on Mind and Nature</w:t>
      </w:r>
      <w:r>
        <w:rPr>
          <w:rFonts w:cs="Times New Roman"/>
        </w:rPr>
        <w:t>. Oxford UP.</w:t>
      </w:r>
    </w:p>
    <w:p w14:paraId="2F99D075" w14:textId="77777777" w:rsidR="004A15AD" w:rsidRDefault="004A15AD">
      <w:pPr>
        <w:ind w:left="720" w:hanging="720"/>
        <w:rPr>
          <w:rFonts w:cs="Times New Roman"/>
        </w:rPr>
      </w:pPr>
      <w:r>
        <w:rPr>
          <w:rFonts w:cs="Times New Roman"/>
        </w:rPr>
        <w:t xml:space="preserve">Katsafanas, P. (2012). Nietzsche on agency and self-ignorance. </w:t>
      </w:r>
      <w:r>
        <w:rPr>
          <w:rFonts w:cs="Times New Roman"/>
          <w:i/>
          <w:iCs/>
        </w:rPr>
        <w:t>Journal of Nietzsche Studies</w:t>
      </w:r>
      <w:r>
        <w:rPr>
          <w:rFonts w:cs="Times New Roman"/>
        </w:rPr>
        <w:t>, 43:1, 5-17.</w:t>
      </w:r>
    </w:p>
    <w:p w14:paraId="3ADEF38B" w14:textId="77777777" w:rsidR="004A15AD" w:rsidRDefault="004A15AD">
      <w:pPr>
        <w:ind w:left="720" w:hanging="720"/>
        <w:rPr>
          <w:rFonts w:cs="Times New Roman"/>
        </w:rPr>
      </w:pPr>
      <w:r>
        <w:rPr>
          <w:rFonts w:cs="Times New Roman"/>
        </w:rPr>
        <w:t xml:space="preserve">Katsafanas, P. (2011). The concept of unified agency in Nietzsche, Plato, and Schiller. </w:t>
      </w:r>
      <w:r>
        <w:rPr>
          <w:rFonts w:cs="Times New Roman"/>
          <w:i/>
          <w:iCs/>
        </w:rPr>
        <w:t>Journal of the History of Philosophy</w:t>
      </w:r>
      <w:r>
        <w:rPr>
          <w:rFonts w:cs="Times New Roman"/>
        </w:rPr>
        <w:t>, 49:1, 87-113.</w:t>
      </w:r>
    </w:p>
    <w:p w14:paraId="16320094" w14:textId="77777777" w:rsidR="004A15AD" w:rsidRDefault="004A15AD">
      <w:pPr>
        <w:ind w:left="720" w:hanging="720"/>
        <w:rPr>
          <w:rFonts w:cs="Times New Roman"/>
        </w:rPr>
      </w:pPr>
      <w:r>
        <w:rPr>
          <w:rFonts w:cs="Times New Roman"/>
        </w:rPr>
        <w:lastRenderedPageBreak/>
        <w:t>Knobe, J. &amp; Leiter, B. (2007). The case for Nietzschean moral psychology</w:t>
      </w:r>
      <w:r>
        <w:rPr>
          <w:rFonts w:cs="Times New Roman"/>
          <w:i/>
          <w:iCs/>
        </w:rPr>
        <w:t xml:space="preserve">. </w:t>
      </w:r>
      <w:r>
        <w:rPr>
          <w:rFonts w:cs="Times New Roman"/>
        </w:rPr>
        <w:t xml:space="preserve">In B. Leiter &amp; N. Sinhababu (eds.), </w:t>
      </w:r>
      <w:r>
        <w:rPr>
          <w:rFonts w:cs="Times New Roman"/>
          <w:i/>
          <w:iCs/>
        </w:rPr>
        <w:t>Nietzsche and Morality</w:t>
      </w:r>
      <w:r>
        <w:rPr>
          <w:rFonts w:cs="Times New Roman"/>
        </w:rPr>
        <w:t>. Oxford UP.</w:t>
      </w:r>
    </w:p>
    <w:p w14:paraId="174CE285" w14:textId="77777777" w:rsidR="004A15AD" w:rsidRDefault="004A15AD">
      <w:pPr>
        <w:ind w:left="720" w:hanging="720"/>
        <w:rPr>
          <w:rFonts w:cs="Times New Roman"/>
        </w:rPr>
      </w:pPr>
      <w:r>
        <w:rPr>
          <w:rFonts w:cs="Times New Roman"/>
        </w:rPr>
        <w:t xml:space="preserve">Leiter, L. (2002). </w:t>
      </w:r>
      <w:r>
        <w:rPr>
          <w:rFonts w:cs="Times New Roman"/>
          <w:i/>
          <w:iCs/>
        </w:rPr>
        <w:t>Nietzsche on Morality</w:t>
      </w:r>
      <w:r>
        <w:rPr>
          <w:rFonts w:cs="Times New Roman"/>
        </w:rPr>
        <w:t>. London: Routledge.</w:t>
      </w:r>
    </w:p>
    <w:p w14:paraId="7B9AB6FE" w14:textId="77777777" w:rsidR="004A15AD" w:rsidRDefault="004A15AD">
      <w:pPr>
        <w:ind w:left="720" w:hanging="720"/>
        <w:rPr>
          <w:rFonts w:cs="Times New Roman"/>
        </w:rPr>
      </w:pPr>
      <w:r>
        <w:rPr>
          <w:rFonts w:cs="Times New Roman"/>
        </w:rPr>
        <w:t xml:space="preserve">Miller, R., Brickman, P., &amp; Bolen. (1975). Attribution versus persuasion as a means for modifying behavior. </w:t>
      </w:r>
      <w:r>
        <w:rPr>
          <w:rFonts w:cs="Times New Roman"/>
          <w:i/>
          <w:iCs/>
        </w:rPr>
        <w:t>Journal of Personality and Social Psychology</w:t>
      </w:r>
      <w:r>
        <w:rPr>
          <w:rFonts w:cs="Times New Roman"/>
        </w:rPr>
        <w:t>, 31:3, 430-441.</w:t>
      </w:r>
    </w:p>
    <w:p w14:paraId="796B34B1" w14:textId="77777777" w:rsidR="004A15AD" w:rsidRDefault="004A15AD">
      <w:pPr>
        <w:ind w:left="720" w:hanging="720"/>
        <w:rPr>
          <w:rFonts w:cs="Times New Roman"/>
        </w:rPr>
      </w:pPr>
      <w:r>
        <w:rPr>
          <w:rFonts w:cs="Times New Roman"/>
          <w:shd w:val="clear" w:color="auto" w:fill="F7F7F7"/>
        </w:rPr>
        <w:t xml:space="preserve">Nisbett, R. &amp; Wilson, T. (1977). The halo effect: Evidence for unconscious alteration of judgments. </w:t>
      </w:r>
      <w:r>
        <w:rPr>
          <w:rFonts w:cs="Times New Roman"/>
          <w:i/>
          <w:iCs/>
          <w:shd w:val="clear" w:color="auto" w:fill="F7F7F7"/>
        </w:rPr>
        <w:t>Journal of Personality and Social Psychology</w:t>
      </w:r>
      <w:r>
        <w:rPr>
          <w:rFonts w:cs="Times New Roman"/>
          <w:shd w:val="clear" w:color="auto" w:fill="F7F7F7"/>
        </w:rPr>
        <w:t>, 35:4, 250-256.</w:t>
      </w:r>
    </w:p>
    <w:p w14:paraId="20D16569" w14:textId="77777777" w:rsidR="004A15AD" w:rsidRDefault="004A15AD">
      <w:pPr>
        <w:ind w:left="720" w:hanging="720"/>
        <w:rPr>
          <w:rFonts w:cs="Times New Roman"/>
        </w:rPr>
      </w:pPr>
      <w:r>
        <w:rPr>
          <w:rFonts w:cs="Times New Roman"/>
        </w:rPr>
        <w:t xml:space="preserve">Prinz, J. (2013). Attention, atomism, and the disunity of consciousness. </w:t>
      </w:r>
      <w:r>
        <w:rPr>
          <w:rFonts w:cs="Times New Roman"/>
          <w:i/>
          <w:iCs/>
        </w:rPr>
        <w:t>Philosophy and Phenomenological Research</w:t>
      </w:r>
      <w:r>
        <w:rPr>
          <w:rFonts w:cs="Times New Roman"/>
        </w:rPr>
        <w:t>, 86:1, 215-222.</w:t>
      </w:r>
    </w:p>
    <w:p w14:paraId="1C2C3168" w14:textId="77777777" w:rsidR="004A15AD" w:rsidRDefault="004A15AD">
      <w:pPr>
        <w:ind w:left="720" w:hanging="720"/>
        <w:rPr>
          <w:rFonts w:cs="Times New Roman"/>
        </w:rPr>
      </w:pPr>
      <w:r>
        <w:rPr>
          <w:rFonts w:cs="Times New Roman"/>
        </w:rPr>
        <w:t xml:space="preserve">Reginster, B. (2006). </w:t>
      </w:r>
      <w:r>
        <w:rPr>
          <w:rFonts w:cs="Times New Roman"/>
          <w:i/>
          <w:iCs/>
        </w:rPr>
        <w:t>The Affirmation of Life: Nietzsche on Overcoming Nihilism</w:t>
      </w:r>
      <w:r>
        <w:rPr>
          <w:rFonts w:cs="Times New Roman"/>
        </w:rPr>
        <w:t>. Harvard UP.</w:t>
      </w:r>
    </w:p>
    <w:p w14:paraId="66702876" w14:textId="77777777" w:rsidR="004A15AD" w:rsidRDefault="004A15AD">
      <w:pPr>
        <w:ind w:left="720" w:hanging="720"/>
        <w:rPr>
          <w:rFonts w:cs="Times New Roman"/>
        </w:rPr>
      </w:pPr>
      <w:r>
        <w:rPr>
          <w:rFonts w:cs="Times New Roman"/>
        </w:rPr>
        <w:t xml:space="preserve">Richardson, J. (forthcoming). Nietzsche, language, community. In J. Young (ed.), </w:t>
      </w:r>
      <w:r>
        <w:rPr>
          <w:rFonts w:cs="Times New Roman"/>
          <w:i/>
          <w:iCs/>
        </w:rPr>
        <w:t>Nietzsche and Community</w:t>
      </w:r>
      <w:r>
        <w:rPr>
          <w:rFonts w:cs="Times New Roman"/>
        </w:rPr>
        <w:t>. Cambridge University Press.</w:t>
      </w:r>
    </w:p>
    <w:p w14:paraId="77CD3438" w14:textId="77777777" w:rsidR="004A15AD" w:rsidRDefault="004A15AD">
      <w:pPr>
        <w:ind w:left="720" w:hanging="720"/>
        <w:rPr>
          <w:rFonts w:cs="Times New Roman"/>
        </w:rPr>
      </w:pPr>
      <w:r>
        <w:rPr>
          <w:rFonts w:cs="Times New Roman"/>
        </w:rPr>
        <w:t xml:space="preserve">Richardson, J. (1996).  </w:t>
      </w:r>
      <w:r>
        <w:rPr>
          <w:rFonts w:cs="Times New Roman"/>
          <w:i/>
          <w:iCs/>
        </w:rPr>
        <w:t>Nietzsche’s System</w:t>
      </w:r>
      <w:r>
        <w:rPr>
          <w:rFonts w:cs="Times New Roman"/>
        </w:rPr>
        <w:t>.  Oxford: Oxford University Press.</w:t>
      </w:r>
    </w:p>
    <w:p w14:paraId="16594421" w14:textId="77777777" w:rsidR="004A15AD" w:rsidRDefault="004A15AD">
      <w:pPr>
        <w:ind w:left="720" w:hanging="720"/>
        <w:rPr>
          <w:rFonts w:cs="Times New Roman"/>
        </w:rPr>
      </w:pPr>
      <w:r>
        <w:rPr>
          <w:rFonts w:cs="Times New Roman"/>
        </w:rPr>
        <w:t xml:space="preserve">Risse, M. (2007).  Nietzschean “animal psychology” versus Kantian ethics, in Leiter &amp; Sinhababu (eds.) </w:t>
      </w:r>
      <w:r>
        <w:rPr>
          <w:rFonts w:cs="Times New Roman"/>
          <w:i/>
          <w:iCs/>
        </w:rPr>
        <w:t>Nietzsche &amp; Morality</w:t>
      </w:r>
      <w:r>
        <w:rPr>
          <w:rFonts w:cs="Times New Roman"/>
        </w:rPr>
        <w:t>, 57-82.  Oxford: Oxford University Press.</w:t>
      </w:r>
    </w:p>
    <w:p w14:paraId="79975C29" w14:textId="77777777" w:rsidR="004A15AD" w:rsidRDefault="004A15AD">
      <w:pPr>
        <w:ind w:left="720" w:hanging="720"/>
        <w:rPr>
          <w:rFonts w:cs="Times New Roman"/>
        </w:rPr>
      </w:pPr>
      <w:r>
        <w:rPr>
          <w:rFonts w:cs="Times New Roman"/>
        </w:rPr>
        <w:t xml:space="preserve">Rosenthal, D. (2006). </w:t>
      </w:r>
      <w:r>
        <w:rPr>
          <w:rFonts w:cs="Times New Roman"/>
          <w:i/>
          <w:iCs/>
        </w:rPr>
        <w:t>Consciousness and Mind</w:t>
      </w:r>
      <w:r>
        <w:rPr>
          <w:rFonts w:cs="Times New Roman"/>
        </w:rPr>
        <w:t>. Oxford: Oxford UP.</w:t>
      </w:r>
    </w:p>
    <w:p w14:paraId="3EB7773F" w14:textId="77777777" w:rsidR="004A15AD" w:rsidRDefault="004A15AD">
      <w:pPr>
        <w:ind w:left="720" w:hanging="720"/>
        <w:rPr>
          <w:rFonts w:cs="Times New Roman"/>
        </w:rPr>
      </w:pPr>
      <w:r>
        <w:rPr>
          <w:rFonts w:cs="Times New Roman"/>
        </w:rPr>
        <w:t xml:space="preserve">Schnall, S., Haidt, J., Clore., G., &amp; Jordan, A. (2006). Disgust as embodied moral judgment. </w:t>
      </w:r>
      <w:r>
        <w:rPr>
          <w:rFonts w:cs="Times New Roman"/>
          <w:i/>
          <w:iCs/>
        </w:rPr>
        <w:t>Personality and Social Psychology Bulletin</w:t>
      </w:r>
      <w:r>
        <w:rPr>
          <w:rFonts w:cs="Times New Roman"/>
        </w:rPr>
        <w:t>, 34:8, 1096-1109.</w:t>
      </w:r>
    </w:p>
    <w:p w14:paraId="1F668A86" w14:textId="77777777" w:rsidR="004A15AD" w:rsidRDefault="004A15AD">
      <w:pPr>
        <w:ind w:left="720" w:hanging="720"/>
        <w:rPr>
          <w:rFonts w:cs="Times New Roman"/>
        </w:rPr>
      </w:pPr>
      <w:r>
        <w:rPr>
          <w:rFonts w:cs="Times New Roman"/>
        </w:rPr>
        <w:t>Shargel, D. (2013). Genuinely embodied emotions. Unpublished dissertation manuscript.</w:t>
      </w:r>
    </w:p>
    <w:p w14:paraId="3BDCF9F7" w14:textId="77777777" w:rsidR="004A15AD" w:rsidRDefault="004A15AD">
      <w:pPr>
        <w:ind w:left="720" w:hanging="720"/>
        <w:rPr>
          <w:rFonts w:cs="Times New Roman"/>
        </w:rPr>
      </w:pPr>
      <w:r>
        <w:rPr>
          <w:rFonts w:cs="Times New Roman"/>
        </w:rPr>
        <w:t xml:space="preserve">Slovic, P., Finucane, M. L., Peters, E., &amp; MacGregor, D. G. (2002). The affect heuristic. In T. Gilovich, D. Grifﬁn, &amp; D. Kahneman (eds.), </w:t>
      </w:r>
      <w:r>
        <w:rPr>
          <w:rFonts w:cs="Times New Roman"/>
          <w:i/>
          <w:iCs/>
        </w:rPr>
        <w:t xml:space="preserve">Heuristics and biases: The psychology of intuitive judgment </w:t>
      </w:r>
      <w:r>
        <w:rPr>
          <w:rFonts w:cs="Times New Roman"/>
        </w:rPr>
        <w:t>(pp. 397–420). New York, NY: Cambridge University Press.</w:t>
      </w:r>
    </w:p>
    <w:p w14:paraId="276E56EB" w14:textId="77777777" w:rsidR="004A15AD" w:rsidRDefault="004A15AD">
      <w:pPr>
        <w:ind w:left="720" w:hanging="720"/>
        <w:rPr>
          <w:rFonts w:cs="Times New Roman"/>
        </w:rPr>
      </w:pPr>
      <w:r>
        <w:rPr>
          <w:rFonts w:cs="Times New Roman"/>
        </w:rPr>
        <w:t xml:space="preserve">Srivastava, S., Richards, J., McGonigal, K., Butler, E., &amp; Gross, J. (2006). Optimism in close relationships: How seeing things in a positive light makes them so. </w:t>
      </w:r>
      <w:r>
        <w:rPr>
          <w:rFonts w:cs="Times New Roman"/>
          <w:i/>
          <w:iCs/>
        </w:rPr>
        <w:t>Personality Processes and Individual Differences</w:t>
      </w:r>
      <w:r>
        <w:rPr>
          <w:rFonts w:cs="Times New Roman"/>
        </w:rPr>
        <w:t>, 91:1, 143-153.</w:t>
      </w:r>
    </w:p>
    <w:p w14:paraId="4F093536" w14:textId="77777777" w:rsidR="004A15AD" w:rsidRDefault="004A15AD">
      <w:pPr>
        <w:ind w:left="720" w:hanging="720"/>
        <w:rPr>
          <w:rFonts w:cs="Times New Roman"/>
        </w:rPr>
      </w:pPr>
      <w:r>
        <w:rPr>
          <w:rFonts w:cs="Times New Roman"/>
        </w:rPr>
        <w:t xml:space="preserve">Talaska, C. A., Fiske, S. T., &amp; Chaiken, S. (2008). Legitimating racial discrimination: A metaanalysis of the racial attitude-behavior literature shows that emotions, not beliefs, best predict discrimination. </w:t>
      </w:r>
      <w:r>
        <w:rPr>
          <w:rFonts w:cs="Times New Roman"/>
          <w:i/>
          <w:iCs/>
        </w:rPr>
        <w:t>Social Justice Research: Social Power in Action</w:t>
      </w:r>
      <w:r>
        <w:rPr>
          <w:rFonts w:cs="Times New Roman"/>
        </w:rPr>
        <w:t xml:space="preserve">, 21, 263-296. </w:t>
      </w:r>
    </w:p>
    <w:p w14:paraId="2F4B292B" w14:textId="77777777" w:rsidR="004A15AD" w:rsidRDefault="004A15AD">
      <w:pPr>
        <w:ind w:left="720" w:hanging="720"/>
        <w:rPr>
          <w:rFonts w:cs="Times New Roman"/>
        </w:rPr>
      </w:pPr>
      <w:r>
        <w:rPr>
          <w:rFonts w:cs="Times New Roman"/>
        </w:rPr>
        <w:t>Thorndike, E. (1920). A constant error in psychological ratings. </w:t>
      </w:r>
      <w:r>
        <w:rPr>
          <w:rFonts w:cs="Times New Roman"/>
          <w:i/>
          <w:iCs/>
        </w:rPr>
        <w:t>Journal of Applied Psychology</w:t>
      </w:r>
      <w:r>
        <w:rPr>
          <w:rFonts w:cs="Times New Roman"/>
        </w:rPr>
        <w:t> 4:1, 25–29.</w:t>
      </w:r>
    </w:p>
    <w:p w14:paraId="71771436" w14:textId="77777777" w:rsidR="004A15AD" w:rsidRDefault="004A15AD">
      <w:pPr>
        <w:ind w:left="720" w:hanging="720"/>
        <w:rPr>
          <w:rFonts w:cs="Times New Roman"/>
        </w:rPr>
      </w:pPr>
      <w:r>
        <w:rPr>
          <w:rFonts w:cs="Times New Roman"/>
        </w:rPr>
        <w:t xml:space="preserve">Williams, B. (1993). Nietzsche’s minimalist moral psychology. </w:t>
      </w:r>
      <w:r>
        <w:rPr>
          <w:rFonts w:cs="Times New Roman"/>
          <w:i/>
          <w:iCs/>
        </w:rPr>
        <w:t>European Journal of Philosophy</w:t>
      </w:r>
      <w:r>
        <w:rPr>
          <w:rFonts w:cs="Times New Roman"/>
        </w:rPr>
        <w:t>, 1:1, 4-14.</w:t>
      </w:r>
    </w:p>
    <w:p w14:paraId="004F414D" w14:textId="77777777" w:rsidR="004A15AD" w:rsidRDefault="004A15AD">
      <w:pPr>
        <w:ind w:left="720" w:hanging="720"/>
        <w:rPr>
          <w:rFonts w:cs="Times New Roman"/>
        </w:rPr>
      </w:pPr>
      <w:r>
        <w:rPr>
          <w:rFonts w:cs="Times New Roman"/>
        </w:rPr>
        <w:t xml:space="preserve">Zajonc, R. (1984). On the primacy of affect. </w:t>
      </w:r>
      <w:r>
        <w:rPr>
          <w:rFonts w:cs="Times New Roman"/>
          <w:i/>
          <w:iCs/>
        </w:rPr>
        <w:t>American Psychologist</w:t>
      </w:r>
      <w:r>
        <w:rPr>
          <w:rFonts w:cs="Times New Roman"/>
        </w:rPr>
        <w:t>, 39:2, 117-123.</w:t>
      </w:r>
    </w:p>
    <w:p w14:paraId="7B88C6D0" w14:textId="77777777" w:rsidR="004A15AD" w:rsidRDefault="004A15AD">
      <w:pPr>
        <w:ind w:left="720" w:hanging="720"/>
        <w:rPr>
          <w:rFonts w:cs="Times New Roman"/>
        </w:rPr>
      </w:pPr>
    </w:p>
    <w:p w14:paraId="49402155" w14:textId="77777777" w:rsidR="004A15AD" w:rsidRDefault="004A15AD">
      <w:pPr>
        <w:ind w:left="720" w:hanging="720"/>
        <w:rPr>
          <w:rFonts w:cs="Times New Roman"/>
        </w:rPr>
      </w:pPr>
    </w:p>
    <w:sectPr w:rsidR="004A15AD" w:rsidSect="004A15AD">
      <w:headerReference w:type="default" r:id="rId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1ABDC" w14:textId="77777777" w:rsidR="0038512C" w:rsidRDefault="0038512C">
      <w:pPr>
        <w:rPr>
          <w:rFonts w:cs="Times New Roman"/>
        </w:rPr>
      </w:pPr>
      <w:r>
        <w:rPr>
          <w:rFonts w:cs="Times New Roman"/>
        </w:rPr>
        <w:separator/>
      </w:r>
    </w:p>
  </w:endnote>
  <w:endnote w:type="continuationSeparator" w:id="0">
    <w:p w14:paraId="56E51D5F" w14:textId="77777777" w:rsidR="0038512C" w:rsidRDefault="003851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Palatino">
    <w:altName w:val="Book Antiqua"/>
    <w:panose1 w:val="00000000000000000000"/>
    <w:charset w:val="00"/>
    <w:family w:val="auto"/>
    <w:pitch w:val="variable"/>
    <w:sig w:usb0="A00002FF" w:usb1="7800205A" w:usb2="14600000" w:usb3="00000000" w:csb0="00000193"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BA733" w14:textId="77777777" w:rsidR="0038512C" w:rsidRDefault="0038512C">
      <w:pPr>
        <w:rPr>
          <w:rFonts w:cs="Times New Roman"/>
        </w:rPr>
      </w:pPr>
      <w:r>
        <w:rPr>
          <w:rFonts w:cs="Times New Roman"/>
        </w:rPr>
        <w:separator/>
      </w:r>
    </w:p>
  </w:footnote>
  <w:footnote w:type="continuationSeparator" w:id="0">
    <w:p w14:paraId="4705EBEA" w14:textId="77777777" w:rsidR="0038512C" w:rsidRDefault="0038512C">
      <w:pPr>
        <w:rPr>
          <w:rFonts w:cs="Times New Roman"/>
        </w:rPr>
      </w:pPr>
      <w:r>
        <w:rPr>
          <w:rFonts w:cs="Times New Roman"/>
        </w:rPr>
        <w:continuationSeparator/>
      </w:r>
    </w:p>
  </w:footnote>
  <w:footnote w:id="1">
    <w:p w14:paraId="09F6B4F1" w14:textId="77777777" w:rsidR="006E1351" w:rsidRPr="006E1351" w:rsidRDefault="006E1351">
      <w:pPr>
        <w:pStyle w:val="FootnoteText"/>
      </w:pPr>
      <w:r w:rsidRPr="006E1351">
        <w:rPr>
          <w:rStyle w:val="FootnoteReference"/>
        </w:rPr>
        <w:footnoteRef/>
      </w:r>
      <w:r w:rsidRPr="006E1351">
        <w:t xml:space="preserve"> </w:t>
      </w:r>
      <w:r w:rsidRPr="00D94C97">
        <w:t>I cite Nietzsche’s texts using the standard English-language acronyms.  Translations are by Maudemarie Clark and Alan Swenson, R. J. Hollingdale, and/or Walter Kaufmann.</w:t>
      </w:r>
    </w:p>
  </w:footnote>
  <w:footnote w:id="2">
    <w:p w14:paraId="58884210" w14:textId="77777777" w:rsidR="0038512C" w:rsidRDefault="0038512C">
      <w:pPr>
        <w:pStyle w:val="FootnoteText"/>
        <w:rPr>
          <w:rFonts w:cs="Times New Roman"/>
        </w:rPr>
      </w:pPr>
      <w:r>
        <w:rPr>
          <w:rStyle w:val="FootnoteReference"/>
        </w:rPr>
        <w:footnoteRef/>
      </w:r>
      <w:r>
        <w:rPr>
          <w:rFonts w:cs="Times New Roman"/>
        </w:rPr>
        <w:t xml:space="preserve"> I return to the interpretation of this subtitle in the next section.</w:t>
      </w:r>
    </w:p>
  </w:footnote>
  <w:footnote w:id="3">
    <w:p w14:paraId="7E5B48B5" w14:textId="77777777" w:rsidR="0038512C" w:rsidRDefault="0038512C">
      <w:pPr>
        <w:pStyle w:val="FootnoteText"/>
        <w:rPr>
          <w:rFonts w:cs="Times New Roman"/>
        </w:rPr>
      </w:pPr>
      <w:r>
        <w:rPr>
          <w:rStyle w:val="FootnoteReference"/>
        </w:rPr>
        <w:footnoteRef/>
      </w:r>
      <w:r>
        <w:rPr>
          <w:rFonts w:cs="Times New Roman"/>
        </w:rPr>
        <w:t xml:space="preserve"> Note that this notion of honorific selfhood cross-cuts any notion of being a morally good person.  Nietzsche does not think that someone who has a self in the honorific sense is bound (or even likely) to be morally good.  It’s consistent with his view that the whole-hearted Nazi is a self in the honorific sense.  Indeed, one might think that this helps to explain what’s so terrifying about such a person.  Thanks to Iskra Fileva for asking me to point this out.</w:t>
      </w:r>
    </w:p>
  </w:footnote>
  <w:footnote w:id="4">
    <w:p w14:paraId="0F015359" w14:textId="77777777" w:rsidR="0038512C" w:rsidRDefault="0038512C">
      <w:pPr>
        <w:pStyle w:val="FootnoteText"/>
        <w:rPr>
          <w:rFonts w:cs="Times New Roman"/>
        </w:rPr>
      </w:pPr>
      <w:r>
        <w:rPr>
          <w:rStyle w:val="FootnoteReference"/>
        </w:rPr>
        <w:footnoteRef/>
      </w:r>
      <w:r>
        <w:rPr>
          <w:rFonts w:cs="Times New Roman"/>
        </w:rPr>
        <w:t xml:space="preserve"> There are further potential ways for System 1 and System 2 to conflict.  For instance, someone might be inclined to endorse, through System 2, conflicting intuitions or impulses delivered by System 1.  Or someone might be inclined to endorse a System 1 intuition or impulse for some reasons and reject it for others.  Thanks to Iskra Fileva for pointing out these possibilities.</w:t>
      </w:r>
    </w:p>
  </w:footnote>
  <w:footnote w:id="5">
    <w:p w14:paraId="40E74018" w14:textId="77777777" w:rsidR="0038512C" w:rsidRDefault="0038512C">
      <w:pPr>
        <w:pStyle w:val="FootnoteText"/>
        <w:rPr>
          <w:rFonts w:cs="Times New Roman"/>
        </w:rPr>
      </w:pPr>
      <w:r>
        <w:rPr>
          <w:rStyle w:val="FootnoteReference"/>
        </w:rPr>
        <w:footnoteRef/>
      </w:r>
      <w:r>
        <w:rPr>
          <w:rFonts w:cs="Times New Roman"/>
        </w:rPr>
        <w:t xml:space="preserve"> Leunissen (this volume) discusses Aristotle on embodiment and character.  It’s pretty clear, though, as she would surely admit, that Aristotle’s notion of different types of blood (hot/cold, wet/dry, etc.) is not empirically supportable.</w:t>
      </w:r>
    </w:p>
  </w:footnote>
  <w:footnote w:id="6">
    <w:p w14:paraId="0292AC7E" w14:textId="77777777" w:rsidR="0038512C" w:rsidRPr="008C22B8" w:rsidRDefault="0038512C">
      <w:pPr>
        <w:pStyle w:val="FootnoteText"/>
      </w:pPr>
      <w:r>
        <w:rPr>
          <w:rStyle w:val="FootnoteReference"/>
        </w:rPr>
        <w:footnoteRef/>
      </w:r>
      <w:r>
        <w:t xml:space="preserve"> I should note that, for Freud, there are two kinds of displacement: displacement of </w:t>
      </w:r>
      <w:r>
        <w:rPr>
          <w:i/>
        </w:rPr>
        <w:t>content</w:t>
      </w:r>
      <w:r>
        <w:t xml:space="preserve">, which corresponds to the tenacity hypothesis, and displacement of </w:t>
      </w:r>
      <w:r>
        <w:rPr>
          <w:i/>
        </w:rPr>
        <w:t>cathexis</w:t>
      </w:r>
      <w:r>
        <w:t>.  ‘Cathexis’ is a technical term for Freud; it refers, in contemporary terminology, to the amount of affective arousal (positively- or negatively-valenced) attached to a particular mental construct (attitude, concept, representation, what have you).  Freud conceives of mental constructs as a functional system of interconnected nodes, each of which is uniquely identified by an ordered triple: its content, its level of cathexis, and the set of (weighted) connections it bears to other nodes.  Displacement of content occurs when a sub-propositional content is replaced by one of the contents to which it is connected; displacement of cathexis occurs when a node’s cathexis is transferred to an adjacent node.  Both displacement of content and displacement of cathexis are understood to be potentially interative processes.  Thanks to Iskra Fileva for inviting me to draw the connection between Nietzsche and Freud.</w:t>
      </w:r>
    </w:p>
  </w:footnote>
  <w:footnote w:id="7">
    <w:p w14:paraId="4FF01419" w14:textId="77777777" w:rsidR="0038512C" w:rsidRDefault="0038512C">
      <w:pPr>
        <w:pStyle w:val="FootnoteText"/>
        <w:rPr>
          <w:rFonts w:cs="Times New Roman"/>
        </w:rPr>
      </w:pPr>
      <w:r>
        <w:rPr>
          <w:rStyle w:val="FootnoteReference"/>
        </w:rPr>
        <w:footnoteRef/>
      </w:r>
      <w:r>
        <w:rPr>
          <w:rFonts w:cs="Times New Roman"/>
        </w:rPr>
        <w:t xml:space="preserve"> These are of course just a couple of examples.  A host of others are collected in a terrific dissertation by Daniel Shargel (2013).</w:t>
      </w:r>
    </w:p>
  </w:footnote>
  <w:footnote w:id="8">
    <w:p w14:paraId="483FD102" w14:textId="77777777" w:rsidR="0038512C" w:rsidRDefault="0038512C">
      <w:pPr>
        <w:pStyle w:val="FootnoteText"/>
        <w:rPr>
          <w:rFonts w:cs="Times New Roman"/>
        </w:rPr>
      </w:pPr>
      <w:r>
        <w:rPr>
          <w:rStyle w:val="FootnoteReference"/>
        </w:rPr>
        <w:footnoteRef/>
      </w:r>
      <w:r>
        <w:rPr>
          <w:rFonts w:cs="Times New Roman"/>
        </w:rPr>
        <w:t xml:space="preserve"> It might seem that this claim is inconsistent with my remarks about Nietzsche’s honorific notion of selfhood above, but it isn’t.  Ambivalence comes in many varieties, only some of which undermine selfhood.  Firm disapproval of one’s own first-order affective, emotional, or evaluative states undermines selfhood.  First-order drives are often </w:t>
      </w:r>
      <w:r>
        <w:rPr>
          <w:rFonts w:cs="Times New Roman"/>
          <w:i/>
          <w:iCs/>
        </w:rPr>
        <w:t>potentially</w:t>
      </w:r>
      <w:r>
        <w:rPr>
          <w:rFonts w:cs="Times New Roman"/>
        </w:rPr>
        <w:t xml:space="preserve"> in conflict, but can be harmonized in various ways.  When I say that, for Nietzsche, harboring deep ambivalence is a mark of nobility, what I mean is that he thinks that, the more diverse one’s drives, the more of an achievement it is (and hence the more a mark of nobility it is) to bring them into harmony.</w:t>
      </w:r>
    </w:p>
  </w:footnote>
  <w:footnote w:id="9">
    <w:p w14:paraId="534226F9" w14:textId="77777777" w:rsidR="0038512C" w:rsidRDefault="0038512C">
      <w:pPr>
        <w:pStyle w:val="FootnoteText"/>
        <w:rPr>
          <w:rFonts w:cs="Times New Roman"/>
        </w:rPr>
      </w:pPr>
      <w:r>
        <w:rPr>
          <w:rStyle w:val="FootnoteReference"/>
        </w:rPr>
        <w:footnoteRef/>
      </w:r>
      <w:r>
        <w:rPr>
          <w:rFonts w:cs="Times New Roman"/>
        </w:rPr>
        <w:t xml:space="preserve"> In Alfano (forthcoming </w:t>
      </w:r>
      <w:r w:rsidR="002D3D00">
        <w:rPr>
          <w:rFonts w:cs="Times New Roman"/>
        </w:rPr>
        <w:t>a</w:t>
      </w:r>
      <w:r>
        <w:rPr>
          <w:rFonts w:cs="Times New Roman"/>
        </w:rPr>
        <w:t>) I discuss at length the problems with Leiter’s strong version of the doctrine of types, arguing that while a much weaker version of it is textually supported, the strong version he advances is not a reasonable interpretation of Nietzsche.</w:t>
      </w:r>
    </w:p>
  </w:footnote>
  <w:footnote w:id="10">
    <w:p w14:paraId="2BDDF1DB" w14:textId="77777777" w:rsidR="0038512C" w:rsidRDefault="0038512C">
      <w:pPr>
        <w:pStyle w:val="FootnoteText"/>
        <w:rPr>
          <w:rFonts w:cs="Times New Roman"/>
        </w:rPr>
      </w:pPr>
      <w:r>
        <w:rPr>
          <w:rStyle w:val="FootnoteReference"/>
        </w:rPr>
        <w:footnoteRef/>
      </w:r>
      <w:r>
        <w:rPr>
          <w:rFonts w:cs="Times New Roman"/>
        </w:rPr>
        <w:t xml:space="preserve"> There may be further ways in which social expectations mold and shape character.  For instance, perhaps some social pressures are strong or persistent enough to result in character traits that were initially outside the “menu.”  So-called “adaptive preferences” sometimes seem to fit this description.  Thanks to Iskra Fileva for pointing this out.</w:t>
      </w:r>
    </w:p>
  </w:footnote>
  <w:footnote w:id="11">
    <w:p w14:paraId="7C941866" w14:textId="77777777" w:rsidR="0038512C" w:rsidRDefault="0038512C">
      <w:pPr>
        <w:pStyle w:val="FootnoteText"/>
        <w:rPr>
          <w:rFonts w:cs="Times New Roman"/>
        </w:rPr>
      </w:pPr>
      <w:r>
        <w:rPr>
          <w:rStyle w:val="FootnoteReference"/>
        </w:rPr>
        <w:footnoteRef/>
      </w:r>
      <w:r>
        <w:rPr>
          <w:rFonts w:cs="Times New Roman"/>
        </w:rPr>
        <w:t xml:space="preserve"> This view shares some similarities with Christian Miller’s “Mixed Trait” account of character (this volume), but diverges in a number of ways.  Miller and I agree that the traits that people tend to embody don’t easily fit into the categories that have traditionally been identified by philosophers as virtues and vices.  We seem to diverge on a number of other points, though.  First, Miller, like most philosophers who talk about virtue, thinks of virtue attributions solely as assertions, whereas I think of them as sometimes assertions but sometimes directives (when uttered in the second-person present tense), commissives (when uttered in the first-person present tense), or declarations.  Second, from what I can tell, I’m more willing to call a trait a virtue or a vice than Miller is; he imposes rather stringent requirements on a trait’s being a virtue or vice.  Third, Miller is more concerned with the distribution of traits in the normal adult population, whereas I am more concerned with how traits are acquired developmentally.  Fourth, he prefers to understand traits as clusters of (dispositional) beliefs, desires, and emotions, whereas I think of them as more or less calibrated drives.</w:t>
      </w:r>
    </w:p>
  </w:footnote>
  <w:footnote w:id="12">
    <w:p w14:paraId="587909F3" w14:textId="77777777" w:rsidR="0038512C" w:rsidRDefault="0038512C">
      <w:pPr>
        <w:pStyle w:val="FootnoteText"/>
        <w:rPr>
          <w:rFonts w:cs="Times New Roman"/>
        </w:rPr>
      </w:pPr>
      <w:r>
        <w:rPr>
          <w:rStyle w:val="FootnoteReference"/>
        </w:rPr>
        <w:footnoteRef/>
      </w:r>
      <w:r>
        <w:rPr>
          <w:rFonts w:cs="Times New Roman"/>
        </w:rPr>
        <w:t xml:space="preserve"> Richardson (forthcoming) discusses further evidence for this interpretation in a fascinating paper.</w:t>
      </w:r>
    </w:p>
  </w:footnote>
  <w:footnote w:id="13">
    <w:p w14:paraId="367F83B9" w14:textId="77777777" w:rsidR="0038512C" w:rsidRDefault="0038512C">
      <w:pPr>
        <w:pStyle w:val="FootnoteText"/>
        <w:rPr>
          <w:rFonts w:cs="Times New Roman"/>
        </w:rPr>
      </w:pPr>
      <w:r>
        <w:rPr>
          <w:rStyle w:val="FootnoteReference"/>
        </w:rPr>
        <w:footnoteRef/>
      </w:r>
      <w:r>
        <w:rPr>
          <w:rFonts w:cs="Times New Roman"/>
        </w:rPr>
        <w:t xml:space="preserve"> As I discuss in Alfano (</w:t>
      </w:r>
      <w:r w:rsidR="002D3D00">
        <w:rPr>
          <w:rFonts w:cs="Times New Roman"/>
        </w:rPr>
        <w:t>2015</w:t>
      </w:r>
      <w:r>
        <w:rPr>
          <w:rFonts w:cs="Times New Roman"/>
        </w:rPr>
        <w:t xml:space="preserve">), this view presupposes that many people do have a kind of global character: a </w:t>
      </w:r>
      <w:r>
        <w:rPr>
          <w:rFonts w:cs="Times New Roman"/>
          <w:i/>
          <w:iCs/>
        </w:rPr>
        <w:t>second-order</w:t>
      </w:r>
      <w:r>
        <w:rPr>
          <w:rFonts w:cs="Times New Roman"/>
        </w:rPr>
        <w:t xml:space="preserve"> disposition, which Nietzsche calls “slavishness” to acquire or simulate whatever personality dispositions are attributed to one.</w:t>
      </w:r>
    </w:p>
  </w:footnote>
  <w:footnote w:id="14">
    <w:p w14:paraId="54ED1EE1" w14:textId="77777777" w:rsidR="0038512C" w:rsidRDefault="0038512C">
      <w:pPr>
        <w:pStyle w:val="FootnoteText"/>
      </w:pPr>
      <w:r>
        <w:rPr>
          <w:rStyle w:val="FootnoteReference"/>
        </w:rPr>
        <w:footnoteRef/>
      </w:r>
      <w:r>
        <w:t xml:space="preserve"> I explore the connections among these virtues, at least for Nietzsche and p</w:t>
      </w:r>
      <w:r w:rsidR="00F5253E">
        <w:t>eople like him, in Alfano (2013c</w:t>
      </w:r>
      <w:r>
        <w:t>).</w:t>
      </w:r>
    </w:p>
  </w:footnote>
  <w:footnote w:id="15">
    <w:p w14:paraId="27C6934D" w14:textId="77777777" w:rsidR="000B03AD" w:rsidRDefault="000B03AD">
      <w:pPr>
        <w:pStyle w:val="FootnoteText"/>
      </w:pPr>
      <w:r>
        <w:rPr>
          <w:rStyle w:val="FootnoteReference"/>
        </w:rPr>
        <w:footnoteRef/>
      </w:r>
      <w:r>
        <w:t xml:space="preserve"> I am grateful to Iskra Fileva for inviting me to contribute this chapter to her collection on virtues, as well as for her detailed and constructive criticism.  I benefited in developing and formulating the views expressed in this paper from the feedback of Neil Sinhababu, Paul Katsafanas, Walter Sinnott-Armstrong, Rebecca Bamford, and Christine Daigle.  The research presented here was supported by a grant from the Oregon Humanities Center.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74E93" w14:textId="77777777" w:rsidR="0038512C" w:rsidRDefault="00CE246D">
    <w:pPr>
      <w:pStyle w:val="Header"/>
      <w:framePr w:wrap="auto" w:vAnchor="text" w:hAnchor="margin" w:xAlign="right" w:y="1"/>
      <w:rPr>
        <w:rStyle w:val="PageNumber"/>
      </w:rPr>
    </w:pPr>
    <w:r>
      <w:rPr>
        <w:rStyle w:val="PageNumber"/>
        <w:rFonts w:ascii="Palatino" w:hAnsi="Palatino" w:cs="Palatino"/>
      </w:rPr>
      <w:fldChar w:fldCharType="begin"/>
    </w:r>
    <w:r w:rsidR="0038512C">
      <w:rPr>
        <w:rStyle w:val="PageNumber"/>
        <w:rFonts w:ascii="Palatino" w:hAnsi="Palatino" w:cs="Palatino"/>
      </w:rPr>
      <w:instrText xml:space="preserve">PAGE  </w:instrText>
    </w:r>
    <w:r>
      <w:rPr>
        <w:rStyle w:val="PageNumber"/>
        <w:rFonts w:ascii="Palatino" w:hAnsi="Palatino" w:cs="Palatino"/>
      </w:rPr>
      <w:fldChar w:fldCharType="separate"/>
    </w:r>
    <w:r w:rsidR="00D94C97">
      <w:rPr>
        <w:rStyle w:val="PageNumber"/>
        <w:rFonts w:ascii="Palatino" w:hAnsi="Palatino" w:cs="Palatino"/>
        <w:noProof/>
      </w:rPr>
      <w:t>13</w:t>
    </w:r>
    <w:r>
      <w:rPr>
        <w:rStyle w:val="PageNumber"/>
        <w:rFonts w:ascii="Palatino" w:hAnsi="Palatino" w:cs="Palatino"/>
      </w:rPr>
      <w:fldChar w:fldCharType="end"/>
    </w:r>
  </w:p>
  <w:p w14:paraId="04DE6121" w14:textId="77777777" w:rsidR="0038512C" w:rsidRDefault="0038512C">
    <w:pPr>
      <w:pStyle w:val="Header"/>
      <w:ind w:right="360"/>
      <w:rPr>
        <w:rFonts w:ascii="Palatino" w:hAnsi="Palatino" w:cs="Palatino"/>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24BA6"/>
    <w:multiLevelType w:val="hybridMultilevel"/>
    <w:tmpl w:val="479C9660"/>
    <w:lvl w:ilvl="0" w:tplc="3D684BD6">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73EA1C1C"/>
    <w:multiLevelType w:val="hybridMultilevel"/>
    <w:tmpl w:val="71984AF6"/>
    <w:lvl w:ilvl="0" w:tplc="94B0CFA0">
      <w:start w:val="1"/>
      <w:numFmt w:val="decimal"/>
      <w:lvlText w:val="%1."/>
      <w:lvlJc w:val="left"/>
      <w:pPr>
        <w:ind w:left="734" w:hanging="360"/>
      </w:pPr>
      <w:rPr>
        <w:rFonts w:ascii="Times New Roman" w:hAnsi="Times New Roman" w:cs="Times New Roman" w:hint="default"/>
      </w:rPr>
    </w:lvl>
    <w:lvl w:ilvl="1" w:tplc="04090019">
      <w:start w:val="1"/>
      <w:numFmt w:val="lowerLetter"/>
      <w:lvlText w:val="%2."/>
      <w:lvlJc w:val="left"/>
      <w:pPr>
        <w:ind w:left="1454" w:hanging="360"/>
      </w:pPr>
      <w:rPr>
        <w:rFonts w:ascii="Times New Roman" w:hAnsi="Times New Roman" w:cs="Times New Roman"/>
      </w:rPr>
    </w:lvl>
    <w:lvl w:ilvl="2" w:tplc="0409001B">
      <w:start w:val="1"/>
      <w:numFmt w:val="lowerRoman"/>
      <w:lvlText w:val="%3."/>
      <w:lvlJc w:val="right"/>
      <w:pPr>
        <w:ind w:left="2174" w:hanging="180"/>
      </w:pPr>
      <w:rPr>
        <w:rFonts w:ascii="Times New Roman" w:hAnsi="Times New Roman" w:cs="Times New Roman"/>
      </w:rPr>
    </w:lvl>
    <w:lvl w:ilvl="3" w:tplc="0409000F">
      <w:start w:val="1"/>
      <w:numFmt w:val="decimal"/>
      <w:lvlText w:val="%4."/>
      <w:lvlJc w:val="left"/>
      <w:pPr>
        <w:ind w:left="2894" w:hanging="360"/>
      </w:pPr>
      <w:rPr>
        <w:rFonts w:ascii="Times New Roman" w:hAnsi="Times New Roman" w:cs="Times New Roman"/>
      </w:rPr>
    </w:lvl>
    <w:lvl w:ilvl="4" w:tplc="04090019">
      <w:start w:val="1"/>
      <w:numFmt w:val="lowerLetter"/>
      <w:lvlText w:val="%5."/>
      <w:lvlJc w:val="left"/>
      <w:pPr>
        <w:ind w:left="3614" w:hanging="360"/>
      </w:pPr>
      <w:rPr>
        <w:rFonts w:ascii="Times New Roman" w:hAnsi="Times New Roman" w:cs="Times New Roman"/>
      </w:rPr>
    </w:lvl>
    <w:lvl w:ilvl="5" w:tplc="0409001B">
      <w:start w:val="1"/>
      <w:numFmt w:val="lowerRoman"/>
      <w:lvlText w:val="%6."/>
      <w:lvlJc w:val="right"/>
      <w:pPr>
        <w:ind w:left="4334" w:hanging="180"/>
      </w:pPr>
      <w:rPr>
        <w:rFonts w:ascii="Times New Roman" w:hAnsi="Times New Roman" w:cs="Times New Roman"/>
      </w:rPr>
    </w:lvl>
    <w:lvl w:ilvl="6" w:tplc="0409000F">
      <w:start w:val="1"/>
      <w:numFmt w:val="decimal"/>
      <w:lvlText w:val="%7."/>
      <w:lvlJc w:val="left"/>
      <w:pPr>
        <w:ind w:left="5054" w:hanging="360"/>
      </w:pPr>
      <w:rPr>
        <w:rFonts w:ascii="Times New Roman" w:hAnsi="Times New Roman" w:cs="Times New Roman"/>
      </w:rPr>
    </w:lvl>
    <w:lvl w:ilvl="7" w:tplc="04090019">
      <w:start w:val="1"/>
      <w:numFmt w:val="lowerLetter"/>
      <w:lvlText w:val="%8."/>
      <w:lvlJc w:val="left"/>
      <w:pPr>
        <w:ind w:left="5774" w:hanging="360"/>
      </w:pPr>
      <w:rPr>
        <w:rFonts w:ascii="Times New Roman" w:hAnsi="Times New Roman" w:cs="Times New Roman"/>
      </w:rPr>
    </w:lvl>
    <w:lvl w:ilvl="8" w:tplc="0409001B">
      <w:start w:val="1"/>
      <w:numFmt w:val="lowerRoman"/>
      <w:lvlText w:val="%9."/>
      <w:lvlJc w:val="right"/>
      <w:pPr>
        <w:ind w:left="6494" w:hanging="180"/>
      </w:pPr>
      <w:rPr>
        <w:rFonts w:ascii="Times New Roman" w:hAnsi="Times New Roman" w:cs="Times New Roman"/>
      </w:rPr>
    </w:lvl>
  </w:abstractNum>
  <w:abstractNum w:abstractNumId="2">
    <w:nsid w:val="74203D9F"/>
    <w:multiLevelType w:val="hybridMultilevel"/>
    <w:tmpl w:val="C716345E"/>
    <w:lvl w:ilvl="0" w:tplc="3D684BD6">
      <w:start w:val="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7D502BE8"/>
    <w:multiLevelType w:val="hybridMultilevel"/>
    <w:tmpl w:val="B8DC50E6"/>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trackRevisions/>
  <w:doNotTrackMove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4A15AD"/>
    <w:rsid w:val="00082B50"/>
    <w:rsid w:val="000B03AD"/>
    <w:rsid w:val="00202B0E"/>
    <w:rsid w:val="002D3D00"/>
    <w:rsid w:val="0038512C"/>
    <w:rsid w:val="00427A58"/>
    <w:rsid w:val="00494623"/>
    <w:rsid w:val="004A15AD"/>
    <w:rsid w:val="006E1351"/>
    <w:rsid w:val="008B2806"/>
    <w:rsid w:val="008C22B8"/>
    <w:rsid w:val="009746A5"/>
    <w:rsid w:val="009B7A65"/>
    <w:rsid w:val="00CE246D"/>
    <w:rsid w:val="00D94C97"/>
    <w:rsid w:val="00DC4E20"/>
    <w:rsid w:val="00DE0CA0"/>
    <w:rsid w:val="00E92764"/>
    <w:rsid w:val="00F52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C1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A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4"/>
    <w:uiPriority w:val="99"/>
    <w:rsid w:val="00DE0CA0"/>
    <w:rPr>
      <w:rFonts w:ascii="Lucida Grande" w:hAnsi="Lucida Grande" w:cs="Lucida Grande"/>
      <w:sz w:val="18"/>
      <w:szCs w:val="18"/>
    </w:rPr>
  </w:style>
  <w:style w:type="character" w:customStyle="1" w:styleId="BalloonTextChar">
    <w:name w:val="Balloon Text Char"/>
    <w:basedOn w:val="DefaultParagraphFont"/>
    <w:uiPriority w:val="99"/>
    <w:semiHidden/>
    <w:rsid w:val="00533626"/>
    <w:rPr>
      <w:rFonts w:ascii="Lucida Grande" w:hAnsi="Lucida Grande"/>
      <w:sz w:val="18"/>
      <w:szCs w:val="18"/>
    </w:rPr>
  </w:style>
  <w:style w:type="character" w:customStyle="1" w:styleId="BalloonTextChar4">
    <w:name w:val="Balloon Text Char4"/>
    <w:basedOn w:val="DefaultParagraphFont"/>
    <w:link w:val="BalloonText"/>
    <w:uiPriority w:val="99"/>
    <w:rsid w:val="00DE0CA0"/>
    <w:rPr>
      <w:rFonts w:ascii="Lucida Grande" w:hAnsi="Lucida Grande" w:cs="Lucida Grande"/>
      <w:sz w:val="18"/>
      <w:szCs w:val="18"/>
    </w:rPr>
  </w:style>
  <w:style w:type="character" w:customStyle="1" w:styleId="BalloonTextChar3">
    <w:name w:val="Balloon Text Char3"/>
    <w:basedOn w:val="DefaultParagraphFont"/>
    <w:uiPriority w:val="99"/>
    <w:rsid w:val="00DE0CA0"/>
    <w:rPr>
      <w:rFonts w:ascii="Lucida Grande" w:hAnsi="Lucida Grande" w:cs="Lucida Grande"/>
      <w:sz w:val="18"/>
      <w:szCs w:val="18"/>
    </w:rPr>
  </w:style>
  <w:style w:type="character" w:customStyle="1" w:styleId="BalloonTextChar2">
    <w:name w:val="Balloon Text Char2"/>
    <w:basedOn w:val="DefaultParagraphFont"/>
    <w:uiPriority w:val="99"/>
    <w:rsid w:val="00DE0CA0"/>
    <w:rPr>
      <w:rFonts w:ascii="Lucida Grande" w:hAnsi="Lucida Grande" w:cs="Lucida Grande"/>
      <w:sz w:val="18"/>
      <w:szCs w:val="18"/>
    </w:rPr>
  </w:style>
  <w:style w:type="paragraph" w:customStyle="1" w:styleId="Body">
    <w:name w:val="*Body"/>
    <w:basedOn w:val="Normal"/>
    <w:uiPriority w:val="99"/>
    <w:rsid w:val="00DE0CA0"/>
  </w:style>
  <w:style w:type="paragraph" w:customStyle="1" w:styleId="BlockQuotation">
    <w:name w:val="*Block Quotation"/>
    <w:basedOn w:val="Normal"/>
    <w:uiPriority w:val="99"/>
    <w:rsid w:val="00DE0CA0"/>
    <w:pPr>
      <w:ind w:left="720"/>
    </w:pPr>
  </w:style>
  <w:style w:type="paragraph" w:customStyle="1" w:styleId="Heading">
    <w:name w:val="*Heading"/>
    <w:basedOn w:val="Normal"/>
    <w:uiPriority w:val="99"/>
    <w:rsid w:val="00DE0CA0"/>
    <w:rPr>
      <w:b/>
      <w:bCs/>
    </w:rPr>
  </w:style>
  <w:style w:type="paragraph" w:styleId="ListParagraph">
    <w:name w:val="List Paragraph"/>
    <w:basedOn w:val="Normal"/>
    <w:uiPriority w:val="99"/>
    <w:qFormat/>
    <w:rsid w:val="00DE0CA0"/>
    <w:pPr>
      <w:ind w:left="720"/>
    </w:pPr>
  </w:style>
  <w:style w:type="character" w:styleId="Hyperlink">
    <w:name w:val="Hyperlink"/>
    <w:basedOn w:val="DefaultParagraphFont"/>
    <w:uiPriority w:val="99"/>
    <w:rsid w:val="00DE0CA0"/>
    <w:rPr>
      <w:rFonts w:ascii="Times New Roman" w:hAnsi="Times New Roman" w:cs="Times New Roman"/>
      <w:color w:val="0000FF"/>
      <w:u w:val="single"/>
    </w:rPr>
  </w:style>
  <w:style w:type="paragraph" w:styleId="Header">
    <w:name w:val="header"/>
    <w:basedOn w:val="Normal"/>
    <w:link w:val="HeaderChar"/>
    <w:uiPriority w:val="99"/>
    <w:rsid w:val="00DE0CA0"/>
    <w:pPr>
      <w:tabs>
        <w:tab w:val="center" w:pos="4320"/>
        <w:tab w:val="right" w:pos="8640"/>
      </w:tabs>
    </w:pPr>
  </w:style>
  <w:style w:type="character" w:customStyle="1" w:styleId="HeaderChar">
    <w:name w:val="Header Char"/>
    <w:basedOn w:val="DefaultParagraphFont"/>
    <w:link w:val="Header"/>
    <w:uiPriority w:val="99"/>
    <w:rsid w:val="00DE0CA0"/>
    <w:rPr>
      <w:rFonts w:ascii="Times New Roman" w:hAnsi="Times New Roman" w:cs="Times New Roman"/>
    </w:rPr>
  </w:style>
  <w:style w:type="character" w:styleId="PageNumber">
    <w:name w:val="page number"/>
    <w:basedOn w:val="DefaultParagraphFont"/>
    <w:uiPriority w:val="99"/>
    <w:rsid w:val="00DE0CA0"/>
    <w:rPr>
      <w:rFonts w:ascii="Times New Roman" w:hAnsi="Times New Roman" w:cs="Times New Roman"/>
    </w:rPr>
  </w:style>
  <w:style w:type="paragraph" w:styleId="Footer">
    <w:name w:val="footer"/>
    <w:basedOn w:val="Normal"/>
    <w:link w:val="FooterChar"/>
    <w:uiPriority w:val="99"/>
    <w:rsid w:val="00DE0CA0"/>
    <w:pPr>
      <w:tabs>
        <w:tab w:val="center" w:pos="4320"/>
        <w:tab w:val="right" w:pos="8640"/>
      </w:tabs>
    </w:pPr>
  </w:style>
  <w:style w:type="character" w:customStyle="1" w:styleId="FooterChar">
    <w:name w:val="Footer Char"/>
    <w:basedOn w:val="DefaultParagraphFont"/>
    <w:link w:val="Footer"/>
    <w:uiPriority w:val="99"/>
    <w:rsid w:val="00DE0CA0"/>
    <w:rPr>
      <w:rFonts w:ascii="Times New Roman" w:hAnsi="Times New Roman" w:cs="Times New Roman"/>
    </w:rPr>
  </w:style>
  <w:style w:type="paragraph" w:styleId="FootnoteText">
    <w:name w:val="footnote text"/>
    <w:basedOn w:val="Normal"/>
    <w:link w:val="FootnoteTextChar"/>
    <w:uiPriority w:val="99"/>
    <w:rsid w:val="00DE0CA0"/>
  </w:style>
  <w:style w:type="character" w:customStyle="1" w:styleId="FootnoteTextChar">
    <w:name w:val="Footnote Text Char"/>
    <w:basedOn w:val="DefaultParagraphFont"/>
    <w:link w:val="FootnoteText"/>
    <w:uiPriority w:val="99"/>
    <w:rsid w:val="00DE0CA0"/>
    <w:rPr>
      <w:rFonts w:ascii="Times New Roman" w:hAnsi="Times New Roman" w:cs="Times New Roman"/>
    </w:rPr>
  </w:style>
  <w:style w:type="character" w:styleId="FootnoteReference">
    <w:name w:val="footnote reference"/>
    <w:basedOn w:val="DefaultParagraphFont"/>
    <w:uiPriority w:val="99"/>
    <w:rsid w:val="00DE0CA0"/>
    <w:rPr>
      <w:rFonts w:ascii="Times New Roman" w:hAnsi="Times New Roman" w:cs="Times New Roman"/>
      <w:vertAlign w:val="superscript"/>
    </w:rPr>
  </w:style>
  <w:style w:type="character" w:customStyle="1" w:styleId="apple-converted-space">
    <w:name w:val="apple-converted-space"/>
    <w:basedOn w:val="DefaultParagraphFont"/>
    <w:uiPriority w:val="99"/>
    <w:rsid w:val="00DE0CA0"/>
    <w:rPr>
      <w:rFonts w:ascii="Times New Roman" w:hAnsi="Times New Roman" w:cs="Times New Roman"/>
    </w:rPr>
  </w:style>
  <w:style w:type="character" w:customStyle="1" w:styleId="rdlinkitem">
    <w:name w:val="rdlinkitem"/>
    <w:basedOn w:val="DefaultParagraphFont"/>
    <w:uiPriority w:val="99"/>
    <w:rsid w:val="00DE0CA0"/>
    <w:rPr>
      <w:rFonts w:ascii="Times New Roman" w:hAnsi="Times New Roman" w:cs="Times New Roman"/>
    </w:rPr>
  </w:style>
  <w:style w:type="character" w:customStyle="1" w:styleId="BalloonTextChar1">
    <w:name w:val="Balloon Text Char1"/>
    <w:basedOn w:val="DefaultParagraphFont"/>
    <w:uiPriority w:val="99"/>
    <w:rsid w:val="00DE0CA0"/>
    <w:rPr>
      <w:rFonts w:ascii="Lucida Grande" w:hAnsi="Lucida Grande" w:cs="Lucida Grande"/>
      <w:sz w:val="18"/>
      <w:szCs w:val="18"/>
    </w:rPr>
  </w:style>
  <w:style w:type="character" w:customStyle="1" w:styleId="il">
    <w:name w:val="il"/>
    <w:basedOn w:val="DefaultParagraphFont"/>
    <w:uiPriority w:val="99"/>
    <w:rsid w:val="00DE0CA0"/>
    <w:rPr>
      <w:rFonts w:ascii="Times New Roman" w:hAnsi="Times New Roman" w:cs="Times New Roman"/>
    </w:rPr>
  </w:style>
  <w:style w:type="character" w:styleId="Strong">
    <w:name w:val="Strong"/>
    <w:basedOn w:val="DefaultParagraphFont"/>
    <w:uiPriority w:val="99"/>
    <w:qFormat/>
    <w:rsid w:val="00DE0CA0"/>
    <w:rPr>
      <w:rFonts w:ascii="Times New Roman" w:hAnsi="Times New Roman" w:cs="Times New Roman"/>
      <w:b/>
      <w:bCs/>
    </w:rPr>
  </w:style>
  <w:style w:type="character" w:styleId="CommentReference">
    <w:name w:val="annotation reference"/>
    <w:basedOn w:val="DefaultParagraphFont"/>
    <w:uiPriority w:val="99"/>
    <w:rsid w:val="00DE0CA0"/>
    <w:rPr>
      <w:rFonts w:ascii="Times New Roman" w:hAnsi="Times New Roman" w:cs="Times New Roman"/>
      <w:sz w:val="18"/>
      <w:szCs w:val="18"/>
    </w:rPr>
  </w:style>
  <w:style w:type="paragraph" w:styleId="CommentText">
    <w:name w:val="annotation text"/>
    <w:basedOn w:val="Normal"/>
    <w:link w:val="CommentTextChar"/>
    <w:uiPriority w:val="99"/>
    <w:rsid w:val="00DE0CA0"/>
  </w:style>
  <w:style w:type="character" w:customStyle="1" w:styleId="CommentTextChar">
    <w:name w:val="Comment Text Char"/>
    <w:basedOn w:val="DefaultParagraphFont"/>
    <w:link w:val="CommentText"/>
    <w:uiPriority w:val="99"/>
    <w:rsid w:val="00DE0CA0"/>
    <w:rPr>
      <w:rFonts w:ascii="Times New Roman" w:hAnsi="Times New Roman" w:cs="Times New Roman"/>
    </w:rPr>
  </w:style>
  <w:style w:type="paragraph" w:styleId="CommentSubject">
    <w:name w:val="annotation subject"/>
    <w:basedOn w:val="CommentText"/>
    <w:next w:val="CommentText"/>
    <w:link w:val="CommentSubjectChar"/>
    <w:uiPriority w:val="99"/>
    <w:rsid w:val="00DE0CA0"/>
    <w:rPr>
      <w:b/>
      <w:bCs/>
      <w:sz w:val="20"/>
      <w:szCs w:val="20"/>
    </w:rPr>
  </w:style>
  <w:style w:type="character" w:customStyle="1" w:styleId="CommentSubjectChar">
    <w:name w:val="Comment Subject Char"/>
    <w:basedOn w:val="CommentTextChar"/>
    <w:link w:val="CommentSubject"/>
    <w:uiPriority w:val="99"/>
    <w:rsid w:val="00DE0CA0"/>
    <w:rPr>
      <w:rFonts w:ascii="Times New Roman" w:hAnsi="Times New Roman" w:cs="Times New Roman"/>
      <w:b/>
      <w:bCs/>
      <w:sz w:val="20"/>
      <w:szCs w:val="20"/>
    </w:rPr>
  </w:style>
  <w:style w:type="character" w:styleId="FollowedHyperlink">
    <w:name w:val="FollowedHyperlink"/>
    <w:basedOn w:val="DefaultParagraphFont"/>
    <w:uiPriority w:val="99"/>
    <w:rsid w:val="00DE0CA0"/>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15</Pages>
  <Words>5947</Words>
  <Characters>33898</Characters>
  <Application>Microsoft Macintosh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How One Becomes What One Is:</vt:lpstr>
    </vt:vector>
  </TitlesOfParts>
  <Manager/>
  <Company/>
  <LinksUpToDate>false</LinksUpToDate>
  <CharactersWithSpaces>39766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One Becomes What One Is:</dc:title>
  <dc:subject/>
  <dc:creator>XXX XXX</dc:creator>
  <cp:keywords/>
  <dc:description/>
  <cp:lastModifiedBy>Mark Alfano</cp:lastModifiedBy>
  <cp:revision>14</cp:revision>
  <dcterms:created xsi:type="dcterms:W3CDTF">2014-11-30T20:17:00Z</dcterms:created>
  <dcterms:modified xsi:type="dcterms:W3CDTF">2016-01-18T06:26:00Z</dcterms:modified>
  <cp:category/>
</cp:coreProperties>
</file>